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A8" w:rsidRDefault="00D47CA8" w:rsidP="00F80975">
      <w:pPr>
        <w:spacing w:after="0" w:line="240" w:lineRule="auto"/>
        <w:jc w:val="both"/>
        <w:rPr>
          <w:rFonts w:ascii="Verdana" w:hAnsi="Verdana"/>
          <w:bCs/>
          <w:color w:val="000000"/>
          <w:sz w:val="20"/>
          <w:szCs w:val="20"/>
        </w:rPr>
      </w:pPr>
      <w:r>
        <w:rPr>
          <w:rFonts w:ascii="Verdana" w:hAnsi="Verdana"/>
          <w:bCs/>
          <w:color w:val="000000"/>
          <w:sz w:val="20"/>
          <w:szCs w:val="20"/>
        </w:rPr>
        <w:t>В</w:t>
      </w:r>
      <w:r w:rsidRPr="00D47CA8">
        <w:rPr>
          <w:rFonts w:ascii="Verdana" w:hAnsi="Verdana"/>
          <w:bCs/>
          <w:color w:val="000000"/>
          <w:sz w:val="20"/>
          <w:szCs w:val="20"/>
        </w:rPr>
        <w:t>х.№07-00-18/29.01.2024г</w:t>
      </w:r>
      <w:r>
        <w:rPr>
          <w:rFonts w:ascii="Verdana" w:hAnsi="Verdana"/>
          <w:bCs/>
          <w:color w:val="000000"/>
          <w:sz w:val="20"/>
          <w:szCs w:val="20"/>
        </w:rPr>
        <w:t>.</w:t>
      </w:r>
    </w:p>
    <w:p w:rsidR="00D47CA8" w:rsidRDefault="00D47CA8" w:rsidP="00F80975">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ДО</w:t>
      </w:r>
    </w:p>
    <w:p w:rsidR="000C773F" w:rsidRDefault="000C773F" w:rsidP="000C773F">
      <w:pPr>
        <w:spacing w:after="0" w:line="240" w:lineRule="auto"/>
        <w:jc w:val="both"/>
        <w:rPr>
          <w:rFonts w:ascii="Verdana" w:hAnsi="Verdana"/>
          <w:sz w:val="20"/>
          <w:szCs w:val="20"/>
        </w:rPr>
      </w:pPr>
      <w:r w:rsidRPr="000C773F">
        <w:rPr>
          <w:rFonts w:ascii="Verdana" w:hAnsi="Verdana"/>
          <w:sz w:val="20"/>
          <w:szCs w:val="20"/>
        </w:rPr>
        <w:t>ОБЩИНСКИ СЪВЕТ ДРЯНОВО</w:t>
      </w:r>
    </w:p>
    <w:p w:rsidR="005E7C46" w:rsidRPr="000C773F" w:rsidRDefault="005E7C46" w:rsidP="000C773F">
      <w:pPr>
        <w:spacing w:after="0" w:line="240" w:lineRule="auto"/>
        <w:jc w:val="both"/>
        <w:rPr>
          <w:rFonts w:ascii="Verdana" w:hAnsi="Verdana"/>
          <w:sz w:val="20"/>
          <w:szCs w:val="20"/>
        </w:rPr>
      </w:pPr>
      <w:bookmarkStart w:id="0" w:name="_GoBack"/>
      <w:bookmarkEnd w:id="0"/>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ПРЕДЛОЖЕНИЕ</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от Трифон Руенов Панчев кмет на община Дряново</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ОТНОСНО: Утвърждаване проекта за бюджет за 2024 г. на Община Дряново</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Основните параметри, които са залегнали в проекта за бюджет на Община Дряново за 2024 г., са съобразени със стратегическите приоритети и годишните цели на общината. Рамката на бюджет 2024 г. е в размер на 28 743 597 лева. Проекта на бюджет в приходната си част е съобразен с размерите на бюджетните взаимоотношения между централния бюджет и бюджета на Община Дряново, определени със Закона за държавния бюджет на Република България за 2024 г. Бюджетната рамка на Община Дряново е изготвена изцяло според:</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Закон за публичните финанси, Закон за общинския дълг, Закона за местни данъци и такси;</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Наредба</w:t>
      </w:r>
      <w:r w:rsidRPr="000C773F">
        <w:rPr>
          <w:rFonts w:ascii="Verdana" w:hAnsi="Verdana"/>
          <w:sz w:val="20"/>
          <w:szCs w:val="20"/>
        </w:rPr>
        <w:tab/>
        <w:t>за условията и реда за</w:t>
      </w:r>
      <w:r w:rsidRPr="000C773F">
        <w:rPr>
          <w:rFonts w:ascii="Verdana" w:hAnsi="Verdana"/>
          <w:sz w:val="20"/>
          <w:szCs w:val="20"/>
        </w:rPr>
        <w:tab/>
        <w:t>съставяне на бюджетната прогноза</w:t>
      </w:r>
      <w:r w:rsidRPr="000C773F">
        <w:rPr>
          <w:rFonts w:ascii="Verdana" w:hAnsi="Verdana"/>
          <w:sz w:val="20"/>
          <w:szCs w:val="20"/>
        </w:rPr>
        <w:tab/>
        <w:t>за</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местните</w:t>
      </w:r>
      <w:r w:rsidRPr="000C773F">
        <w:rPr>
          <w:rFonts w:ascii="Verdana" w:hAnsi="Verdana"/>
          <w:sz w:val="20"/>
          <w:szCs w:val="20"/>
        </w:rPr>
        <w:tab/>
        <w:t>дейности за следващите</w:t>
      </w:r>
      <w:r w:rsidRPr="000C773F">
        <w:rPr>
          <w:rFonts w:ascii="Verdana" w:hAnsi="Verdana"/>
          <w:sz w:val="20"/>
          <w:szCs w:val="20"/>
        </w:rPr>
        <w:tab/>
        <w:t>три години и за съставяне, приемане,</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изпълнение и отчитане на бюджета на Община Дряново;</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 xml:space="preserve">Закон за държавния бюджет на Република България (ЗДБРБ) за 2024 г., обнародван в ДВ бр. </w:t>
      </w:r>
      <w:proofErr w:type="spellStart"/>
      <w:r w:rsidRPr="000C773F">
        <w:rPr>
          <w:rFonts w:ascii="Verdana" w:hAnsi="Verdana"/>
          <w:sz w:val="20"/>
          <w:szCs w:val="20"/>
        </w:rPr>
        <w:t>бб</w:t>
      </w:r>
      <w:proofErr w:type="spellEnd"/>
      <w:r w:rsidRPr="000C773F">
        <w:rPr>
          <w:rFonts w:ascii="Verdana" w:hAnsi="Verdana"/>
          <w:sz w:val="20"/>
          <w:szCs w:val="20"/>
        </w:rPr>
        <w:t xml:space="preserve"> от 30.12.2023 г.;</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Указания от Министерство на финансите;</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Анализ на изпълнението на Бюджета</w:t>
      </w:r>
      <w:r w:rsidRPr="000C773F">
        <w:rPr>
          <w:rFonts w:ascii="Verdana" w:hAnsi="Verdana"/>
          <w:sz w:val="20"/>
          <w:szCs w:val="20"/>
        </w:rPr>
        <w:tab/>
        <w:t>за 2021 г., 2022 г. и 2023 г.;</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Решение</w:t>
      </w:r>
      <w:r w:rsidRPr="000C773F">
        <w:rPr>
          <w:rFonts w:ascii="Verdana" w:hAnsi="Verdana"/>
          <w:sz w:val="20"/>
          <w:szCs w:val="20"/>
        </w:rPr>
        <w:tab/>
        <w:t>№346 от 05.05.2023 г.</w:t>
      </w:r>
      <w:r w:rsidRPr="000C773F">
        <w:rPr>
          <w:rFonts w:ascii="Verdana" w:hAnsi="Verdana"/>
          <w:sz w:val="20"/>
          <w:szCs w:val="20"/>
        </w:rPr>
        <w:tab/>
        <w:t>на МС за приемане на стандарти</w:t>
      </w:r>
      <w:r w:rsidRPr="000C773F">
        <w:rPr>
          <w:rFonts w:ascii="Verdana" w:hAnsi="Verdana"/>
          <w:sz w:val="20"/>
          <w:szCs w:val="20"/>
        </w:rPr>
        <w:tab/>
        <w:t>за</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делегираните от държавата дейности с натурални и стойностни показатели през 2024 година, изменено с РМС №847/28.11.2023 г.;</w:t>
      </w:r>
    </w:p>
    <w:p w:rsidR="000C773F" w:rsidRPr="000C773F" w:rsidRDefault="000C773F" w:rsidP="000C773F">
      <w:pPr>
        <w:spacing w:after="0" w:line="240" w:lineRule="auto"/>
        <w:jc w:val="both"/>
        <w:rPr>
          <w:rFonts w:ascii="Verdana" w:hAnsi="Verdana"/>
          <w:sz w:val="20"/>
          <w:szCs w:val="20"/>
        </w:rPr>
      </w:pPr>
    </w:p>
    <w:p w:rsidR="000C773F" w:rsidRPr="000C773F"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Промени в действащото законодателство;</w:t>
      </w:r>
    </w:p>
    <w:p w:rsidR="000C773F" w:rsidRPr="000C773F" w:rsidRDefault="000C773F" w:rsidP="000C773F">
      <w:pPr>
        <w:spacing w:after="0" w:line="240" w:lineRule="auto"/>
        <w:jc w:val="both"/>
        <w:rPr>
          <w:rFonts w:ascii="Verdana" w:hAnsi="Verdana"/>
          <w:sz w:val="20"/>
          <w:szCs w:val="20"/>
        </w:rPr>
      </w:pPr>
    </w:p>
    <w:p w:rsidR="00F80975" w:rsidRDefault="000C773F" w:rsidP="000C773F">
      <w:pPr>
        <w:spacing w:after="0" w:line="240" w:lineRule="auto"/>
        <w:jc w:val="both"/>
        <w:rPr>
          <w:rFonts w:ascii="Verdana" w:hAnsi="Verdana"/>
          <w:sz w:val="20"/>
          <w:szCs w:val="20"/>
        </w:rPr>
      </w:pPr>
      <w:r w:rsidRPr="000C773F">
        <w:rPr>
          <w:rFonts w:ascii="Verdana" w:hAnsi="Verdana"/>
          <w:sz w:val="20"/>
          <w:szCs w:val="20"/>
        </w:rPr>
        <w:t>&gt;</w:t>
      </w:r>
      <w:r w:rsidRPr="000C773F">
        <w:rPr>
          <w:rFonts w:ascii="Verdana" w:hAnsi="Verdana"/>
          <w:sz w:val="20"/>
          <w:szCs w:val="20"/>
        </w:rPr>
        <w:tab/>
        <w:t>Приети от Общински съвет и действащи в Община Дряново, Стратегия за развитие на общината, Стратегията и програмата за управление и разпореждане с общински имоти и други нормативни документи имащи отношение към бюджетния процес.</w:t>
      </w: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Основните приоритети и цели при разработването на общинския бюджет ще бъдат насочени към:</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Ефективно изразходване на публичните средства;</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Приоритизиране на провежданите политики, изготвяне на мерки за повишаване на събираемостта на собствените приходи /данъчни и неданъчни/, както и на просрочените вземания с цел поддържане на положително бюджетно салдо;</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lastRenderedPageBreak/>
        <w:t>&gt;</w:t>
      </w:r>
      <w:r w:rsidRPr="00D6052E">
        <w:rPr>
          <w:rFonts w:ascii="Verdana" w:hAnsi="Verdana"/>
          <w:sz w:val="20"/>
          <w:szCs w:val="20"/>
        </w:rPr>
        <w:tab/>
        <w:t>Разходите по бюджета на общината за 2024 г. ще се ограничат единствено до размера на собствените приходи и получените трансфери от други бюджети и средства от ЕС;</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Обезпечаване дейността на всички бюджетни звена и предоставяне на планираните субсидии и трансфери към второстепенните разпоредители с бюджет;</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Гарантиране на плащанията по спечелените проекти;</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Осигуряване на средства за текущи ремонти и поддържане на общинската инфраструктура;</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Финансиране на дейностите заложени в културният и спортен календар през 2024 г.;</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Въвеждане на положителни практики по отношение на целесъобразно и ефективно изразходване на общинските средства;</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&gt;</w:t>
      </w:r>
      <w:r w:rsidRPr="00D6052E">
        <w:rPr>
          <w:rFonts w:ascii="Verdana" w:hAnsi="Verdana"/>
          <w:sz w:val="20"/>
          <w:szCs w:val="20"/>
        </w:rPr>
        <w:tab/>
        <w:t>Спазване на всички „Фискални правила" заложени в Закона за публичните финанси по отношение нарастване размера на разходите в местните дейности;</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Във връзка с гореизложеното предлагам Общински съвет Дряново да вземе следното</w:t>
      </w:r>
    </w:p>
    <w:p w:rsidR="00D6052E" w:rsidRPr="00D6052E" w:rsidRDefault="00D6052E" w:rsidP="00D6052E">
      <w:pPr>
        <w:spacing w:after="0" w:line="240" w:lineRule="auto"/>
        <w:jc w:val="both"/>
        <w:rPr>
          <w:rFonts w:ascii="Verdana" w:hAnsi="Verdana"/>
          <w:sz w:val="20"/>
          <w:szCs w:val="20"/>
        </w:rPr>
      </w:pPr>
    </w:p>
    <w:p w:rsidR="00D6052E" w:rsidRPr="00D6052E" w:rsidRDefault="00D6052E" w:rsidP="00D6052E">
      <w:pPr>
        <w:spacing w:after="0" w:line="240" w:lineRule="auto"/>
        <w:jc w:val="both"/>
        <w:rPr>
          <w:rFonts w:ascii="Verdana" w:hAnsi="Verdana"/>
          <w:sz w:val="20"/>
          <w:szCs w:val="20"/>
        </w:rPr>
      </w:pPr>
      <w:r w:rsidRPr="00D6052E">
        <w:rPr>
          <w:rFonts w:ascii="Verdana" w:hAnsi="Verdana"/>
          <w:sz w:val="20"/>
          <w:szCs w:val="20"/>
        </w:rPr>
        <w:t>РЕШЕНИЕ:</w:t>
      </w:r>
    </w:p>
    <w:p w:rsidR="00D6052E" w:rsidRPr="00D6052E" w:rsidRDefault="00D6052E" w:rsidP="00D6052E">
      <w:pPr>
        <w:spacing w:after="0" w:line="240" w:lineRule="auto"/>
        <w:jc w:val="both"/>
        <w:rPr>
          <w:rFonts w:ascii="Verdana" w:hAnsi="Verdana"/>
          <w:sz w:val="20"/>
          <w:szCs w:val="20"/>
        </w:rPr>
      </w:pPr>
    </w:p>
    <w:p w:rsidR="00E164F2" w:rsidRPr="00E164F2" w:rsidRDefault="00D6052E" w:rsidP="00E164F2">
      <w:pPr>
        <w:spacing w:after="0" w:line="240" w:lineRule="auto"/>
        <w:jc w:val="both"/>
        <w:rPr>
          <w:rFonts w:ascii="Verdana" w:hAnsi="Verdana"/>
          <w:sz w:val="20"/>
          <w:szCs w:val="20"/>
        </w:rPr>
      </w:pPr>
      <w:r w:rsidRPr="00D6052E">
        <w:rPr>
          <w:rFonts w:ascii="Verdana" w:hAnsi="Verdana"/>
          <w:sz w:val="20"/>
          <w:szCs w:val="20"/>
        </w:rPr>
        <w:t>На основание чл. 52, ал. 1 и чл. 21, ал. 1, т. 6, във връзка с чл. 27, ал. 4 и ал. 5 от Закона за местното самоуправление и местната администрация, чл. 94, ал. 2 и ал. 3 и чл. 39 от Закона за публичните финанси, във връзка с разпоредбите на Закона за държавния бюджет на Република България за 2024 г., ПМС № 13 от 29.01.2024 г. за изпълнение на държавния бюджет на Република България за 2024 г. и Наредбата за условията и реда за съставяне на бюджетната прогноза за местните дейности за</w:t>
      </w:r>
      <w:r w:rsidR="00E164F2">
        <w:rPr>
          <w:rFonts w:ascii="Verdana" w:hAnsi="Verdana"/>
          <w:sz w:val="20"/>
          <w:szCs w:val="20"/>
        </w:rPr>
        <w:t xml:space="preserve"> </w:t>
      </w:r>
      <w:r w:rsidR="00E164F2" w:rsidRPr="00E164F2">
        <w:rPr>
          <w:rFonts w:ascii="Verdana" w:hAnsi="Verdana"/>
          <w:sz w:val="20"/>
          <w:szCs w:val="20"/>
        </w:rPr>
        <w:t>следващите три години, за съставяне, приемане, изпълнение и отчитане на бюджета на Община Дряново, Общински съвет Дряново, Стратегията за развитие на общината и вътрешните нормативни актове.</w:t>
      </w:r>
    </w:p>
    <w:p w:rsidR="00E164F2" w:rsidRPr="00E164F2" w:rsidRDefault="00E164F2" w:rsidP="00E164F2">
      <w:pPr>
        <w:spacing w:after="0" w:line="240" w:lineRule="auto"/>
        <w:jc w:val="both"/>
        <w:rPr>
          <w:rFonts w:ascii="Verdana" w:hAnsi="Verdana"/>
          <w:sz w:val="20"/>
          <w:szCs w:val="20"/>
        </w:rPr>
      </w:pPr>
      <w:r w:rsidRPr="00E164F2">
        <w:rPr>
          <w:rFonts w:ascii="Verdana" w:hAnsi="Verdana"/>
          <w:sz w:val="20"/>
          <w:szCs w:val="20"/>
        </w:rPr>
        <w:t>РЕШИ:</w:t>
      </w:r>
    </w:p>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Прие бюджета за 2024 г. на Община Дряново, както следва:</w:t>
      </w:r>
    </w:p>
    <w:p w:rsidR="0000511D" w:rsidRDefault="0000511D" w:rsidP="00344CC2">
      <w:pPr>
        <w:spacing w:after="0" w:line="240" w:lineRule="auto"/>
        <w:jc w:val="both"/>
        <w:rPr>
          <w:rFonts w:ascii="Verdana" w:hAnsi="Verdana"/>
          <w:sz w:val="20"/>
          <w:szCs w:val="20"/>
        </w:rPr>
      </w:pPr>
    </w:p>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 По приходите в размер на 28 743 597 лв., в т.ч., както следва:</w:t>
      </w:r>
    </w:p>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I. Приходи</w:t>
      </w:r>
    </w:p>
    <w:tbl>
      <w:tblPr>
        <w:tblW w:w="0" w:type="auto"/>
        <w:tblInd w:w="-5" w:type="dxa"/>
        <w:tblLayout w:type="fixed"/>
        <w:tblCellMar>
          <w:left w:w="0" w:type="dxa"/>
          <w:right w:w="0" w:type="dxa"/>
        </w:tblCellMar>
        <w:tblLook w:val="0000" w:firstRow="0" w:lastRow="0" w:firstColumn="0" w:lastColumn="0" w:noHBand="0" w:noVBand="0"/>
      </w:tblPr>
      <w:tblGrid>
        <w:gridCol w:w="437"/>
        <w:gridCol w:w="6782"/>
        <w:gridCol w:w="1910"/>
      </w:tblGrid>
      <w:tr w:rsidR="00344CC2" w:rsidRPr="00344CC2">
        <w:tblPrEx>
          <w:tblCellMar>
            <w:top w:w="0" w:type="dxa"/>
            <w:left w:w="0" w:type="dxa"/>
            <w:bottom w:w="0" w:type="dxa"/>
            <w:right w:w="0" w:type="dxa"/>
          </w:tblCellMar>
        </w:tblPrEx>
        <w:trPr>
          <w:trHeight w:val="269"/>
        </w:trPr>
        <w:tc>
          <w:tcPr>
            <w:tcW w:w="437"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w:t>
            </w: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Приходи за държавни дейности в размер на: в т. ч.</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16 284 029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Обща субсидия за делегирани държавни дейности /ДД/</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14 905 533 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Преходен остатък от 2023 година за ДД</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1 375 009 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Собствени приходи второстепенни разпоредители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4095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Събрани средства и извършени плащания параграф 8803</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/- 608/лв.</w:t>
            </w:r>
          </w:p>
        </w:tc>
      </w:tr>
      <w:tr w:rsidR="00344CC2" w:rsidRPr="00344CC2">
        <w:tblPrEx>
          <w:tblCellMar>
            <w:top w:w="0" w:type="dxa"/>
            <w:left w:w="0" w:type="dxa"/>
            <w:bottom w:w="0" w:type="dxa"/>
            <w:right w:w="0" w:type="dxa"/>
          </w:tblCellMar>
        </w:tblPrEx>
        <w:trPr>
          <w:trHeight w:val="254"/>
        </w:trPr>
        <w:tc>
          <w:tcPr>
            <w:tcW w:w="437"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w:t>
            </w: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Приходи за местни дейности в размер на: в т. ч.</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12 459 568 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Данъчни приходи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2 188 000 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Неданъчни приходи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2 344 251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Внесено ДДС и др. данъци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/-48 000/лв.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Обща изравнителна субсидия</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969 000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Получени трансфери за други целеви разходи за местни дейности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46 200 лв.</w:t>
            </w:r>
          </w:p>
        </w:tc>
      </w:tr>
      <w:tr w:rsidR="00344CC2" w:rsidRPr="00344CC2">
        <w:tblPrEx>
          <w:tblCellMar>
            <w:top w:w="0" w:type="dxa"/>
            <w:left w:w="0" w:type="dxa"/>
            <w:bottom w:w="0" w:type="dxa"/>
            <w:right w:w="0" w:type="dxa"/>
          </w:tblCellMar>
        </w:tblPrEx>
        <w:trPr>
          <w:trHeight w:val="485"/>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Трансфер за зимно поддържане и снегопочистване на общински пътища</w:t>
            </w:r>
          </w:p>
        </w:tc>
        <w:tc>
          <w:tcPr>
            <w:tcW w:w="1910" w:type="dxa"/>
            <w:tcBorders>
              <w:top w:val="single" w:sz="4" w:space="0" w:color="auto"/>
              <w:left w:val="single" w:sz="4" w:space="0" w:color="auto"/>
              <w:bottom w:val="nil"/>
              <w:right w:val="single" w:sz="4" w:space="0" w:color="auto"/>
            </w:tcBorders>
            <w:shd w:val="clear" w:color="auto" w:fill="FFFFFF"/>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252 800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Целева субсидия за Капиталови разходи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1 760 100 лв.</w:t>
            </w:r>
          </w:p>
        </w:tc>
      </w:tr>
      <w:tr w:rsidR="00344CC2" w:rsidRPr="00344CC2">
        <w:tblPrEx>
          <w:tblCellMar>
            <w:top w:w="0" w:type="dxa"/>
            <w:left w:w="0" w:type="dxa"/>
            <w:bottom w:w="0" w:type="dxa"/>
            <w:right w:w="0" w:type="dxa"/>
          </w:tblCellMar>
        </w:tblPrEx>
        <w:trPr>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Временни безлихвени заеми от СЕС</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4 600 430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Получени краткосрочни заеми от банки в страната</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300 000 лв.</w:t>
            </w:r>
          </w:p>
        </w:tc>
      </w:tr>
      <w:tr w:rsidR="00344CC2" w:rsidRPr="00344CC2">
        <w:tblPrEx>
          <w:tblCellMar>
            <w:top w:w="0" w:type="dxa"/>
            <w:left w:w="0" w:type="dxa"/>
            <w:bottom w:w="0" w:type="dxa"/>
            <w:right w:w="0" w:type="dxa"/>
          </w:tblCellMar>
        </w:tblPrEx>
        <w:trPr>
          <w:trHeight w:val="25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Погашения по краткосрочни заеми от банки в страната</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/-300 000/лв.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Преходен остатък от 2023 година за местни дейности</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70 787 лв.</w:t>
            </w:r>
          </w:p>
        </w:tc>
      </w:tr>
      <w:tr w:rsidR="00344CC2" w:rsidRPr="00344CC2">
        <w:tblPrEx>
          <w:tblCellMar>
            <w:top w:w="0" w:type="dxa"/>
            <w:left w:w="0" w:type="dxa"/>
            <w:bottom w:w="0" w:type="dxa"/>
            <w:right w:w="0" w:type="dxa"/>
          </w:tblCellMar>
        </w:tblPrEx>
        <w:trPr>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Друго финансиране - отчисления по ЗУО</w:t>
            </w:r>
          </w:p>
        </w:tc>
        <w:tc>
          <w:tcPr>
            <w:tcW w:w="1910"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228 000 лв.</w:t>
            </w:r>
          </w:p>
        </w:tc>
      </w:tr>
      <w:tr w:rsidR="00344CC2" w:rsidRPr="00344CC2">
        <w:tblPrEx>
          <w:tblCellMar>
            <w:top w:w="0" w:type="dxa"/>
            <w:left w:w="0" w:type="dxa"/>
            <w:bottom w:w="0" w:type="dxa"/>
            <w:right w:w="0" w:type="dxa"/>
          </w:tblCellMar>
        </w:tblPrEx>
        <w:trPr>
          <w:trHeight w:val="490"/>
        </w:trPr>
        <w:tc>
          <w:tcPr>
            <w:tcW w:w="437" w:type="dxa"/>
            <w:tcBorders>
              <w:top w:val="single" w:sz="4" w:space="0" w:color="auto"/>
              <w:left w:val="single" w:sz="4" w:space="0" w:color="auto"/>
              <w:bottom w:val="single" w:sz="4" w:space="0" w:color="auto"/>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6782" w:type="dxa"/>
            <w:tcBorders>
              <w:top w:val="single" w:sz="4" w:space="0" w:color="auto"/>
              <w:left w:val="single" w:sz="4" w:space="0" w:color="auto"/>
              <w:bottom w:val="single" w:sz="4" w:space="0" w:color="auto"/>
              <w:right w:val="nil"/>
            </w:tcBorders>
            <w:shd w:val="clear" w:color="auto" w:fill="FFFFFF"/>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Общо приходи: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28 743 597 лв.</w:t>
            </w:r>
          </w:p>
        </w:tc>
      </w:tr>
    </w:tbl>
    <w:p w:rsidR="0000511D" w:rsidRDefault="0000511D" w:rsidP="00344CC2">
      <w:pPr>
        <w:spacing w:after="0" w:line="240" w:lineRule="auto"/>
        <w:jc w:val="both"/>
        <w:rPr>
          <w:rFonts w:ascii="Verdana" w:hAnsi="Verdana"/>
          <w:sz w:val="20"/>
          <w:szCs w:val="20"/>
        </w:rPr>
      </w:pPr>
    </w:p>
    <w:p w:rsidR="00344CC2" w:rsidRDefault="00344CC2" w:rsidP="00344CC2">
      <w:pPr>
        <w:spacing w:after="0" w:line="240" w:lineRule="auto"/>
        <w:jc w:val="both"/>
        <w:rPr>
          <w:rFonts w:ascii="Verdana" w:hAnsi="Verdana"/>
          <w:sz w:val="20"/>
          <w:szCs w:val="20"/>
        </w:rPr>
      </w:pPr>
      <w:r w:rsidRPr="00344CC2">
        <w:rPr>
          <w:rFonts w:ascii="Verdana" w:hAnsi="Verdana"/>
          <w:sz w:val="20"/>
          <w:szCs w:val="20"/>
        </w:rPr>
        <w:t>2. По разходите в размер на 28 743 597 лв</w:t>
      </w:r>
      <w:r>
        <w:rPr>
          <w:rFonts w:ascii="Verdana" w:hAnsi="Verdana"/>
          <w:sz w:val="20"/>
          <w:szCs w:val="20"/>
        </w:rPr>
        <w:t>., разпределен както следва:</w:t>
      </w:r>
    </w:p>
    <w:p w:rsidR="00344CC2" w:rsidRPr="00344CC2" w:rsidRDefault="00344CC2" w:rsidP="00344CC2">
      <w:pPr>
        <w:spacing w:after="0" w:line="240" w:lineRule="auto"/>
        <w:jc w:val="both"/>
        <w:rPr>
          <w:rFonts w:ascii="Verdana" w:hAnsi="Verdana"/>
          <w:sz w:val="20"/>
          <w:szCs w:val="20"/>
        </w:rPr>
      </w:pPr>
      <w:r>
        <w:rPr>
          <w:rFonts w:ascii="Verdana" w:hAnsi="Verdana"/>
          <w:sz w:val="20"/>
          <w:szCs w:val="20"/>
          <w:lang w:val="en-US"/>
        </w:rPr>
        <w:t>II</w:t>
      </w:r>
      <w:r>
        <w:rPr>
          <w:rFonts w:ascii="Verdana" w:hAnsi="Verdana"/>
          <w:sz w:val="20"/>
          <w:szCs w:val="20"/>
        </w:rPr>
        <w:t xml:space="preserve">. </w:t>
      </w:r>
      <w:r w:rsidRPr="00344CC2">
        <w:rPr>
          <w:rFonts w:ascii="Verdana" w:hAnsi="Verdana"/>
          <w:sz w:val="20"/>
          <w:szCs w:val="20"/>
        </w:rPr>
        <w:t>Разходи</w:t>
      </w:r>
    </w:p>
    <w:tbl>
      <w:tblPr>
        <w:tblW w:w="9121" w:type="dxa"/>
        <w:tblInd w:w="-5" w:type="dxa"/>
        <w:tblLayout w:type="fixed"/>
        <w:tblCellMar>
          <w:left w:w="0" w:type="dxa"/>
          <w:right w:w="0" w:type="dxa"/>
        </w:tblCellMar>
        <w:tblLook w:val="0000" w:firstRow="0" w:lastRow="0" w:firstColumn="0" w:lastColumn="0" w:noHBand="0" w:noVBand="0"/>
      </w:tblPr>
      <w:tblGrid>
        <w:gridCol w:w="442"/>
        <w:gridCol w:w="7116"/>
        <w:gridCol w:w="1553"/>
        <w:gridCol w:w="10"/>
      </w:tblGrid>
      <w:tr w:rsidR="00344CC2" w:rsidRPr="00344CC2" w:rsidTr="00420FA5">
        <w:tblPrEx>
          <w:tblCellMar>
            <w:top w:w="0" w:type="dxa"/>
            <w:left w:w="0" w:type="dxa"/>
            <w:bottom w:w="0" w:type="dxa"/>
            <w:right w:w="0" w:type="dxa"/>
          </w:tblCellMar>
        </w:tblPrEx>
        <w:trPr>
          <w:gridAfter w:val="1"/>
          <w:wAfter w:w="6" w:type="dxa"/>
          <w:trHeight w:val="269"/>
        </w:trPr>
        <w:tc>
          <w:tcPr>
            <w:tcW w:w="437"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w:t>
            </w: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Разходи за делегирани от държавата дейности в т. ч.</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16 284 029 лв.</w:t>
            </w:r>
          </w:p>
        </w:tc>
      </w:tr>
      <w:tr w:rsidR="00344CC2" w:rsidRPr="00344CC2" w:rsidTr="00420FA5">
        <w:tblPrEx>
          <w:tblCellMar>
            <w:top w:w="0" w:type="dxa"/>
            <w:left w:w="0" w:type="dxa"/>
            <w:bottom w:w="0" w:type="dxa"/>
            <w:right w:w="0" w:type="dxa"/>
          </w:tblCellMar>
        </w:tblPrEx>
        <w:trPr>
          <w:gridAfter w:val="1"/>
          <w:wAfter w:w="6" w:type="dxa"/>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Общи държавни служби</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1 086 189 лв.</w:t>
            </w:r>
          </w:p>
        </w:tc>
      </w:tr>
      <w:tr w:rsidR="00344CC2" w:rsidRPr="00344CC2" w:rsidTr="00420FA5">
        <w:tblPrEx>
          <w:tblCellMar>
            <w:top w:w="0" w:type="dxa"/>
            <w:left w:w="0" w:type="dxa"/>
            <w:bottom w:w="0" w:type="dxa"/>
            <w:right w:w="0" w:type="dxa"/>
          </w:tblCellMar>
        </w:tblPrEx>
        <w:trPr>
          <w:gridAfter w:val="1"/>
          <w:wAfter w:w="6" w:type="dxa"/>
          <w:trHeight w:val="25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Отбрана и сигурност</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236 586 лв.</w:t>
            </w:r>
          </w:p>
        </w:tc>
      </w:tr>
      <w:tr w:rsidR="00344CC2" w:rsidRPr="00344CC2" w:rsidTr="00420FA5">
        <w:tblPrEx>
          <w:tblCellMar>
            <w:top w:w="0" w:type="dxa"/>
            <w:left w:w="0" w:type="dxa"/>
            <w:bottom w:w="0" w:type="dxa"/>
            <w:right w:w="0" w:type="dxa"/>
          </w:tblCellMar>
        </w:tblPrEx>
        <w:trPr>
          <w:gridAfter w:val="1"/>
          <w:wAfter w:w="6" w:type="dxa"/>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Образование</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5 131 205 лв.</w:t>
            </w:r>
          </w:p>
        </w:tc>
      </w:tr>
      <w:tr w:rsidR="00344CC2" w:rsidRPr="00344CC2" w:rsidTr="00420FA5">
        <w:tblPrEx>
          <w:tblCellMar>
            <w:top w:w="0" w:type="dxa"/>
            <w:left w:w="0" w:type="dxa"/>
            <w:bottom w:w="0" w:type="dxa"/>
            <w:right w:w="0" w:type="dxa"/>
          </w:tblCellMar>
        </w:tblPrEx>
        <w:trPr>
          <w:gridAfter w:val="1"/>
          <w:wAfter w:w="6" w:type="dxa"/>
          <w:trHeight w:val="26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Здравеопазване</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856 503 лв.</w:t>
            </w:r>
          </w:p>
        </w:tc>
      </w:tr>
      <w:tr w:rsidR="00344CC2" w:rsidRPr="00344CC2" w:rsidTr="00420FA5">
        <w:tblPrEx>
          <w:tblCellMar>
            <w:top w:w="0" w:type="dxa"/>
            <w:left w:w="0" w:type="dxa"/>
            <w:bottom w:w="0" w:type="dxa"/>
            <w:right w:w="0" w:type="dxa"/>
          </w:tblCellMar>
        </w:tblPrEx>
        <w:trPr>
          <w:gridAfter w:val="1"/>
          <w:wAfter w:w="6" w:type="dxa"/>
          <w:trHeight w:val="25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Соц. осигуряване, подпомагане и грижи</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8 174 907 лв.</w:t>
            </w:r>
          </w:p>
        </w:tc>
      </w:tr>
      <w:tr w:rsidR="00344CC2" w:rsidRPr="00344CC2" w:rsidTr="00420FA5">
        <w:tblPrEx>
          <w:tblCellMar>
            <w:top w:w="0" w:type="dxa"/>
            <w:left w:w="0" w:type="dxa"/>
            <w:bottom w:w="0" w:type="dxa"/>
            <w:right w:w="0" w:type="dxa"/>
          </w:tblCellMar>
        </w:tblPrEx>
        <w:trPr>
          <w:gridAfter w:val="1"/>
          <w:wAfter w:w="6" w:type="dxa"/>
          <w:trHeight w:val="264"/>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Култура и спорт</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792 443 лв.</w:t>
            </w:r>
          </w:p>
        </w:tc>
      </w:tr>
      <w:tr w:rsidR="00344CC2" w:rsidRPr="00344CC2" w:rsidTr="00420FA5">
        <w:tblPrEx>
          <w:tblCellMar>
            <w:top w:w="0" w:type="dxa"/>
            <w:left w:w="0" w:type="dxa"/>
            <w:bottom w:w="0" w:type="dxa"/>
            <w:right w:w="0" w:type="dxa"/>
          </w:tblCellMar>
        </w:tblPrEx>
        <w:trPr>
          <w:gridAfter w:val="1"/>
          <w:wAfter w:w="6" w:type="dxa"/>
          <w:trHeight w:val="269"/>
        </w:trPr>
        <w:tc>
          <w:tcPr>
            <w:tcW w:w="437" w:type="dxa"/>
            <w:tcBorders>
              <w:top w:val="single" w:sz="4" w:space="0" w:color="auto"/>
              <w:left w:val="single" w:sz="4" w:space="0" w:color="auto"/>
              <w:bottom w:val="nil"/>
              <w:right w:val="nil"/>
            </w:tcBorders>
            <w:shd w:val="clear" w:color="auto" w:fill="FFFFFF"/>
          </w:tcPr>
          <w:p w:rsidR="00344CC2" w:rsidRPr="00344CC2" w:rsidRDefault="00344CC2" w:rsidP="00344CC2">
            <w:pPr>
              <w:spacing w:after="0" w:line="240" w:lineRule="auto"/>
              <w:jc w:val="both"/>
              <w:rPr>
                <w:rFonts w:ascii="Verdana" w:hAnsi="Verdana"/>
                <w:sz w:val="20"/>
                <w:szCs w:val="20"/>
              </w:rPr>
            </w:pPr>
          </w:p>
        </w:tc>
        <w:tc>
          <w:tcPr>
            <w:tcW w:w="7123" w:type="dxa"/>
            <w:tcBorders>
              <w:top w:val="single" w:sz="4" w:space="0" w:color="auto"/>
              <w:left w:val="single" w:sz="4" w:space="0" w:color="auto"/>
              <w:bottom w:val="nil"/>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Други икономически дейности и услуги</w:t>
            </w:r>
          </w:p>
        </w:tc>
        <w:tc>
          <w:tcPr>
            <w:tcW w:w="1555" w:type="dxa"/>
            <w:tcBorders>
              <w:top w:val="single" w:sz="4" w:space="0" w:color="auto"/>
              <w:left w:val="single" w:sz="4" w:space="0" w:color="auto"/>
              <w:bottom w:val="nil"/>
              <w:right w:val="single" w:sz="4" w:space="0" w:color="auto"/>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6 196 лв.</w:t>
            </w:r>
          </w:p>
        </w:tc>
      </w:tr>
      <w:tr w:rsidR="00344CC2" w:rsidRPr="00344CC2" w:rsidTr="00420FA5">
        <w:tblPrEx>
          <w:tblCellMar>
            <w:top w:w="0" w:type="dxa"/>
            <w:left w:w="0" w:type="dxa"/>
            <w:bottom w:w="0" w:type="dxa"/>
            <w:right w:w="0" w:type="dxa"/>
          </w:tblCellMar>
        </w:tblPrEx>
        <w:trPr>
          <w:gridAfter w:val="1"/>
          <w:wAfter w:w="6" w:type="dxa"/>
          <w:trHeight w:val="274"/>
        </w:trPr>
        <w:tc>
          <w:tcPr>
            <w:tcW w:w="437" w:type="dxa"/>
            <w:tcBorders>
              <w:top w:val="single" w:sz="4" w:space="0" w:color="auto"/>
              <w:left w:val="single" w:sz="4" w:space="0" w:color="auto"/>
              <w:bottom w:val="single" w:sz="4" w:space="0" w:color="auto"/>
              <w:right w:val="nil"/>
            </w:tcBorders>
            <w:shd w:val="clear" w:color="auto" w:fill="FFFFFF"/>
            <w:vAlign w:val="bottom"/>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2.</w:t>
            </w:r>
          </w:p>
        </w:tc>
        <w:tc>
          <w:tcPr>
            <w:tcW w:w="7123" w:type="dxa"/>
            <w:tcBorders>
              <w:top w:val="single" w:sz="4" w:space="0" w:color="auto"/>
              <w:left w:val="single" w:sz="4" w:space="0" w:color="auto"/>
              <w:bottom w:val="single" w:sz="4" w:space="0" w:color="auto"/>
              <w:right w:val="nil"/>
            </w:tcBorders>
            <w:shd w:val="clear" w:color="auto" w:fill="FFFFFF"/>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Разходи за дофинансирани дейности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344CC2" w:rsidRPr="00344CC2" w:rsidRDefault="00344CC2" w:rsidP="00344CC2">
            <w:pPr>
              <w:spacing w:after="0" w:line="240" w:lineRule="auto"/>
              <w:jc w:val="both"/>
              <w:rPr>
                <w:rFonts w:ascii="Verdana" w:hAnsi="Verdana"/>
                <w:sz w:val="20"/>
                <w:szCs w:val="20"/>
              </w:rPr>
            </w:pPr>
            <w:r w:rsidRPr="00344CC2">
              <w:rPr>
                <w:rFonts w:ascii="Verdana" w:hAnsi="Verdana"/>
                <w:sz w:val="20"/>
                <w:szCs w:val="20"/>
              </w:rPr>
              <w:t>111 423 лв.</w:t>
            </w:r>
          </w:p>
        </w:tc>
      </w:tr>
      <w:tr w:rsidR="00420FA5" w:rsidRPr="00420FA5" w:rsidTr="00420FA5">
        <w:tblPrEx>
          <w:tblCellMar>
            <w:top w:w="0" w:type="dxa"/>
            <w:left w:w="0" w:type="dxa"/>
            <w:bottom w:w="0" w:type="dxa"/>
            <w:right w:w="0" w:type="dxa"/>
          </w:tblCellMar>
        </w:tblPrEx>
        <w:trPr>
          <w:trHeight w:val="27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Образование</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8 683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Соц. осигуряване, подпомагане и грижи</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1 600 лв.</w:t>
            </w:r>
          </w:p>
        </w:tc>
      </w:tr>
      <w:tr w:rsidR="00420FA5" w:rsidRPr="00420FA5" w:rsidTr="00420FA5">
        <w:tblPrEx>
          <w:tblCellMar>
            <w:top w:w="0" w:type="dxa"/>
            <w:left w:w="0" w:type="dxa"/>
            <w:bottom w:w="0" w:type="dxa"/>
            <w:right w:w="0" w:type="dxa"/>
          </w:tblCellMar>
        </w:tblPrEx>
        <w:trPr>
          <w:trHeight w:val="259"/>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Култура и спорт</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101 140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w:t>
            </w: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Разходи за местни дейности в т. ч.</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12 348 145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Общи държавни служби</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5 589 600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Отбрана и сигурност</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1 000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Здравеопазване</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49 000 лв.</w:t>
            </w:r>
          </w:p>
        </w:tc>
      </w:tr>
      <w:tr w:rsidR="00420FA5" w:rsidRPr="00420FA5" w:rsidTr="00420FA5">
        <w:tblPrEx>
          <w:tblCellMar>
            <w:top w:w="0" w:type="dxa"/>
            <w:left w:w="0" w:type="dxa"/>
            <w:bottom w:w="0" w:type="dxa"/>
            <w:right w:w="0" w:type="dxa"/>
          </w:tblCellMar>
        </w:tblPrEx>
        <w:trPr>
          <w:trHeight w:val="259"/>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Жилищно строителство, БКС и опазване на околната среда</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5 291 221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Соц. осигуряване, подпомагане и грижи</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213 006 лв.</w:t>
            </w:r>
          </w:p>
        </w:tc>
      </w:tr>
      <w:tr w:rsidR="00420FA5" w:rsidRPr="00420FA5" w:rsidTr="00420FA5">
        <w:tblPrEx>
          <w:tblCellMar>
            <w:top w:w="0" w:type="dxa"/>
            <w:left w:w="0" w:type="dxa"/>
            <w:bottom w:w="0" w:type="dxa"/>
            <w:right w:w="0" w:type="dxa"/>
          </w:tblCellMar>
        </w:tblPrEx>
        <w:trPr>
          <w:trHeight w:val="264"/>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Култура и спорт</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792 703 лв.</w:t>
            </w:r>
          </w:p>
        </w:tc>
      </w:tr>
      <w:tr w:rsidR="00420FA5" w:rsidRPr="00420FA5" w:rsidTr="00420FA5">
        <w:tblPrEx>
          <w:tblCellMar>
            <w:top w:w="0" w:type="dxa"/>
            <w:left w:w="0" w:type="dxa"/>
            <w:bottom w:w="0" w:type="dxa"/>
            <w:right w:w="0" w:type="dxa"/>
          </w:tblCellMar>
        </w:tblPrEx>
        <w:trPr>
          <w:trHeight w:val="259"/>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Други икономически дейности и услуги</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391 615 лв.</w:t>
            </w:r>
          </w:p>
        </w:tc>
      </w:tr>
      <w:tr w:rsidR="00420FA5" w:rsidRPr="00420FA5" w:rsidTr="00420FA5">
        <w:tblPrEx>
          <w:tblCellMar>
            <w:top w:w="0" w:type="dxa"/>
            <w:left w:w="0" w:type="dxa"/>
            <w:bottom w:w="0" w:type="dxa"/>
            <w:right w:w="0" w:type="dxa"/>
          </w:tblCellMar>
        </w:tblPrEx>
        <w:trPr>
          <w:trHeight w:val="259"/>
        </w:trPr>
        <w:tc>
          <w:tcPr>
            <w:tcW w:w="442"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Разходи некласифицирани в други функции</w:t>
            </w:r>
          </w:p>
        </w:tc>
        <w:tc>
          <w:tcPr>
            <w:tcW w:w="156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20 000 лв.</w:t>
            </w:r>
          </w:p>
        </w:tc>
      </w:tr>
      <w:tr w:rsidR="00420FA5" w:rsidRPr="00420FA5" w:rsidTr="00420FA5">
        <w:tblPrEx>
          <w:tblCellMar>
            <w:top w:w="0" w:type="dxa"/>
            <w:left w:w="0" w:type="dxa"/>
            <w:bottom w:w="0" w:type="dxa"/>
            <w:right w:w="0" w:type="dxa"/>
          </w:tblCellMar>
        </w:tblPrEx>
        <w:trPr>
          <w:trHeight w:val="274"/>
        </w:trPr>
        <w:tc>
          <w:tcPr>
            <w:tcW w:w="442"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7114" w:type="dxa"/>
            <w:tcBorders>
              <w:top w:val="single" w:sz="4" w:space="0" w:color="auto"/>
              <w:left w:val="single" w:sz="4" w:space="0" w:color="auto"/>
              <w:bottom w:val="single" w:sz="4" w:space="0" w:color="auto"/>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Общо разходи: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28 743 597 лв.</w:t>
            </w:r>
          </w:p>
        </w:tc>
      </w:tr>
    </w:tbl>
    <w:p w:rsidR="0000511D" w:rsidRDefault="0000511D" w:rsidP="00420FA5">
      <w:pPr>
        <w:spacing w:after="0" w:line="240" w:lineRule="auto"/>
        <w:jc w:val="both"/>
        <w:rPr>
          <w:rFonts w:ascii="Verdana" w:hAnsi="Verdana"/>
          <w:sz w:val="20"/>
          <w:szCs w:val="20"/>
        </w:rPr>
      </w:pP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 На основание чл. 11, ал. 10 и чл. 100, ал. 3 от ЗПФ определя второстепенните разпоредители с бюджет, в т.ч. и прилагащите системата на делегираните бюджети в сферата на образованието и утвърждава бюджетите им, включително и план на разходите за сметка на собствени приходи както следва:</w:t>
      </w:r>
    </w:p>
    <w:tbl>
      <w:tblPr>
        <w:tblW w:w="0" w:type="auto"/>
        <w:tblInd w:w="-5" w:type="dxa"/>
        <w:tblLayout w:type="fixed"/>
        <w:tblCellMar>
          <w:left w:w="0" w:type="dxa"/>
          <w:right w:w="0" w:type="dxa"/>
        </w:tblCellMar>
        <w:tblLook w:val="0000" w:firstRow="0" w:lastRow="0" w:firstColumn="0" w:lastColumn="0" w:noHBand="0" w:noVBand="0"/>
      </w:tblPr>
      <w:tblGrid>
        <w:gridCol w:w="2789"/>
        <w:gridCol w:w="1301"/>
        <w:gridCol w:w="1397"/>
        <w:gridCol w:w="1387"/>
        <w:gridCol w:w="1186"/>
        <w:gridCol w:w="1147"/>
      </w:tblGrid>
      <w:tr w:rsidR="00420FA5" w:rsidRPr="00420FA5">
        <w:tblPrEx>
          <w:tblCellMar>
            <w:top w:w="0" w:type="dxa"/>
            <w:left w:w="0" w:type="dxa"/>
            <w:bottom w:w="0" w:type="dxa"/>
            <w:right w:w="0" w:type="dxa"/>
          </w:tblCellMar>
        </w:tblPrEx>
        <w:trPr>
          <w:trHeight w:val="768"/>
        </w:trPr>
        <w:tc>
          <w:tcPr>
            <w:tcW w:w="2789"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Разпоредител:</w:t>
            </w:r>
          </w:p>
        </w:tc>
        <w:tc>
          <w:tcPr>
            <w:tcW w:w="1301"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proofErr w:type="spellStart"/>
            <w:r w:rsidRPr="00420FA5">
              <w:rPr>
                <w:rFonts w:ascii="Verdana" w:hAnsi="Verdana"/>
                <w:sz w:val="20"/>
                <w:szCs w:val="20"/>
              </w:rPr>
              <w:t>дд</w:t>
            </w:r>
            <w:proofErr w:type="spellEnd"/>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стандарт</w:t>
            </w: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2024</w:t>
            </w:r>
          </w:p>
        </w:tc>
        <w:tc>
          <w:tcPr>
            <w:tcW w:w="1397"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Преходни</w:t>
            </w: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остатъци</w:t>
            </w: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2023</w:t>
            </w:r>
          </w:p>
        </w:tc>
        <w:tc>
          <w:tcPr>
            <w:tcW w:w="1387"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proofErr w:type="spellStart"/>
            <w:r w:rsidRPr="00420FA5">
              <w:rPr>
                <w:rFonts w:ascii="Verdana" w:hAnsi="Verdana"/>
                <w:sz w:val="20"/>
                <w:szCs w:val="20"/>
              </w:rPr>
              <w:t>мд</w:t>
            </w:r>
            <w:proofErr w:type="spellEnd"/>
            <w:r w:rsidRPr="00420FA5">
              <w:rPr>
                <w:rFonts w:ascii="Verdana" w:hAnsi="Verdana"/>
                <w:sz w:val="20"/>
                <w:szCs w:val="20"/>
              </w:rPr>
              <w:t xml:space="preserve"> +</w:t>
            </w: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 xml:space="preserve">ДД </w:t>
            </w:r>
            <w:proofErr w:type="spellStart"/>
            <w:r w:rsidRPr="00420FA5">
              <w:rPr>
                <w:rFonts w:ascii="Verdana" w:hAnsi="Verdana"/>
                <w:sz w:val="20"/>
                <w:szCs w:val="20"/>
              </w:rPr>
              <w:t>финс</w:t>
            </w:r>
            <w:proofErr w:type="spellEnd"/>
            <w:r w:rsidRPr="00420FA5">
              <w:rPr>
                <w:rFonts w:ascii="Verdana" w:hAnsi="Verdana"/>
                <w:sz w:val="20"/>
                <w:szCs w:val="20"/>
              </w:rPr>
              <w:t>. МП</w:t>
            </w:r>
          </w:p>
        </w:tc>
        <w:tc>
          <w:tcPr>
            <w:tcW w:w="1186"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Собствени</w:t>
            </w: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приходи</w:t>
            </w:r>
          </w:p>
        </w:tc>
        <w:tc>
          <w:tcPr>
            <w:tcW w:w="1147" w:type="dxa"/>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Всичко бюджет в лв.</w:t>
            </w:r>
          </w:p>
        </w:tc>
      </w:tr>
      <w:tr w:rsidR="00420FA5" w:rsidRPr="00420FA5">
        <w:tblPrEx>
          <w:tblCellMar>
            <w:top w:w="0" w:type="dxa"/>
            <w:left w:w="0" w:type="dxa"/>
            <w:bottom w:w="0" w:type="dxa"/>
            <w:right w:w="0" w:type="dxa"/>
          </w:tblCellMar>
        </w:tblPrEx>
        <w:trPr>
          <w:trHeight w:val="360"/>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СУ "М. Райкович"</w:t>
            </w:r>
          </w:p>
        </w:tc>
        <w:tc>
          <w:tcPr>
            <w:tcW w:w="1301"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2 519 179</w:t>
            </w:r>
          </w:p>
        </w:tc>
        <w:tc>
          <w:tcPr>
            <w:tcW w:w="1397"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296 889</w:t>
            </w: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1991</w:t>
            </w:r>
          </w:p>
        </w:tc>
        <w:tc>
          <w:tcPr>
            <w:tcW w:w="1147" w:type="dxa"/>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2 818 059</w:t>
            </w:r>
          </w:p>
        </w:tc>
      </w:tr>
      <w:tr w:rsidR="00420FA5" w:rsidRPr="00420FA5">
        <w:tblPrEx>
          <w:tblCellMar>
            <w:top w:w="0" w:type="dxa"/>
            <w:left w:w="0" w:type="dxa"/>
            <w:bottom w:w="0" w:type="dxa"/>
            <w:right w:w="0" w:type="dxa"/>
          </w:tblCellMar>
        </w:tblPrEx>
        <w:trPr>
          <w:trHeight w:val="355"/>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 ПГИ "Р. Стоянов"</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677 908</w:t>
            </w: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168 440</w:t>
            </w: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8683</w:t>
            </w: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3000</w:t>
            </w: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858 031</w:t>
            </w:r>
          </w:p>
        </w:tc>
      </w:tr>
      <w:tr w:rsidR="00420FA5" w:rsidRPr="00420FA5">
        <w:tblPrEx>
          <w:tblCellMar>
            <w:top w:w="0" w:type="dxa"/>
            <w:left w:w="0" w:type="dxa"/>
            <w:bottom w:w="0" w:type="dxa"/>
            <w:right w:w="0" w:type="dxa"/>
          </w:tblCellMar>
        </w:tblPrEx>
        <w:trPr>
          <w:trHeight w:val="355"/>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 ДГ "Детелина"</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1 286 947</w:t>
            </w: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133 956</w:t>
            </w: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4396</w:t>
            </w: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1 425 299</w:t>
            </w:r>
          </w:p>
        </w:tc>
      </w:tr>
      <w:tr w:rsidR="00420FA5" w:rsidRPr="00420FA5">
        <w:tblPrEx>
          <w:tblCellMar>
            <w:top w:w="0" w:type="dxa"/>
            <w:left w:w="0" w:type="dxa"/>
            <w:bottom w:w="0" w:type="dxa"/>
            <w:right w:w="0" w:type="dxa"/>
          </w:tblCellMar>
        </w:tblPrEx>
        <w:trPr>
          <w:trHeight w:val="360"/>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 Исторически музей</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282 366</w:t>
            </w: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48 237</w:t>
            </w: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70 000</w:t>
            </w: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400 603</w:t>
            </w:r>
          </w:p>
        </w:tc>
      </w:tr>
      <w:tr w:rsidR="00420FA5" w:rsidRPr="00420FA5">
        <w:tblPrEx>
          <w:tblCellMar>
            <w:top w:w="0" w:type="dxa"/>
            <w:left w:w="0" w:type="dxa"/>
            <w:bottom w:w="0" w:type="dxa"/>
            <w:right w:w="0" w:type="dxa"/>
          </w:tblCellMar>
        </w:tblPrEx>
        <w:trPr>
          <w:trHeight w:val="355"/>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5. КСУВХ</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4 968 776</w:t>
            </w: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311 879</w:t>
            </w:r>
          </w:p>
        </w:tc>
        <w:tc>
          <w:tcPr>
            <w:tcW w:w="1387" w:type="dxa"/>
            <w:tcBorders>
              <w:top w:val="single" w:sz="4" w:space="0" w:color="auto"/>
              <w:left w:val="single" w:sz="4" w:space="0" w:color="auto"/>
              <w:bottom w:val="nil"/>
              <w:right w:val="nil"/>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180 000</w:t>
            </w:r>
          </w:p>
        </w:tc>
        <w:tc>
          <w:tcPr>
            <w:tcW w:w="1186" w:type="dxa"/>
            <w:tcBorders>
              <w:top w:val="single" w:sz="4" w:space="0" w:color="auto"/>
              <w:left w:val="single" w:sz="4" w:space="0" w:color="auto"/>
              <w:bottom w:val="nil"/>
              <w:right w:val="nil"/>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1600</w:t>
            </w: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5 462 255</w:t>
            </w:r>
          </w:p>
        </w:tc>
      </w:tr>
      <w:tr w:rsidR="00420FA5" w:rsidRPr="00420FA5">
        <w:tblPrEx>
          <w:tblCellMar>
            <w:top w:w="0" w:type="dxa"/>
            <w:left w:w="0" w:type="dxa"/>
            <w:bottom w:w="0" w:type="dxa"/>
            <w:right w:w="0" w:type="dxa"/>
          </w:tblCellMar>
        </w:tblPrEx>
        <w:trPr>
          <w:trHeight w:val="355"/>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6. Детски ясли</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638 600</w:t>
            </w: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94 747</w:t>
            </w: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5000</w:t>
            </w: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738 347</w:t>
            </w:r>
          </w:p>
        </w:tc>
      </w:tr>
      <w:tr w:rsidR="00420FA5" w:rsidRPr="00420FA5">
        <w:tblPrEx>
          <w:tblCellMar>
            <w:top w:w="0" w:type="dxa"/>
            <w:left w:w="0" w:type="dxa"/>
            <w:bottom w:w="0" w:type="dxa"/>
            <w:right w:w="0" w:type="dxa"/>
          </w:tblCellMar>
        </w:tblPrEx>
        <w:trPr>
          <w:trHeight w:val="360"/>
        </w:trPr>
        <w:tc>
          <w:tcPr>
            <w:tcW w:w="2789"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 ОП "Чисто Дряново"</w:t>
            </w:r>
          </w:p>
        </w:tc>
        <w:tc>
          <w:tcPr>
            <w:tcW w:w="1301"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39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387"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768 265</w:t>
            </w:r>
          </w:p>
        </w:tc>
        <w:tc>
          <w:tcPr>
            <w:tcW w:w="1186"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p>
        </w:tc>
        <w:tc>
          <w:tcPr>
            <w:tcW w:w="1147" w:type="dxa"/>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768 265</w:t>
            </w:r>
          </w:p>
        </w:tc>
      </w:tr>
      <w:tr w:rsidR="00420FA5" w:rsidRPr="00420FA5">
        <w:tblPrEx>
          <w:tblCellMar>
            <w:top w:w="0" w:type="dxa"/>
            <w:left w:w="0" w:type="dxa"/>
            <w:bottom w:w="0" w:type="dxa"/>
            <w:right w:w="0" w:type="dxa"/>
          </w:tblCellMar>
        </w:tblPrEx>
        <w:trPr>
          <w:trHeight w:val="374"/>
        </w:trPr>
        <w:tc>
          <w:tcPr>
            <w:tcW w:w="2789"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Всичко:</w:t>
            </w:r>
          </w:p>
        </w:tc>
        <w:tc>
          <w:tcPr>
            <w:tcW w:w="1301"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10 373 776</w:t>
            </w:r>
          </w:p>
        </w:tc>
        <w:tc>
          <w:tcPr>
            <w:tcW w:w="1397"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1 054 148</w:t>
            </w:r>
          </w:p>
        </w:tc>
        <w:tc>
          <w:tcPr>
            <w:tcW w:w="1387"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961 948</w:t>
            </w:r>
          </w:p>
        </w:tc>
        <w:tc>
          <w:tcPr>
            <w:tcW w:w="1186"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80 987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12 470 859</w:t>
            </w:r>
          </w:p>
        </w:tc>
      </w:tr>
    </w:tbl>
    <w:p w:rsidR="00B773E2" w:rsidRDefault="00B773E2" w:rsidP="00420FA5">
      <w:pPr>
        <w:spacing w:after="0" w:line="240" w:lineRule="auto"/>
        <w:jc w:val="both"/>
        <w:rPr>
          <w:rFonts w:ascii="Verdana" w:hAnsi="Verdana"/>
          <w:sz w:val="20"/>
          <w:szCs w:val="20"/>
        </w:rPr>
      </w:pPr>
    </w:p>
    <w:p w:rsidR="0000511D" w:rsidRDefault="0000511D" w:rsidP="00420FA5">
      <w:pPr>
        <w:spacing w:after="0" w:line="240" w:lineRule="auto"/>
        <w:jc w:val="both"/>
        <w:rPr>
          <w:rFonts w:ascii="Verdana" w:hAnsi="Verdana"/>
          <w:sz w:val="20"/>
          <w:szCs w:val="20"/>
        </w:rPr>
      </w:pPr>
    </w:p>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lastRenderedPageBreak/>
        <w:t>4. Утвърждава бюджетите на организациите, предоставящи социални услуги в общността, както следва:</w:t>
      </w:r>
    </w:p>
    <w:tbl>
      <w:tblPr>
        <w:tblW w:w="0" w:type="auto"/>
        <w:tblInd w:w="-5" w:type="dxa"/>
        <w:tblLayout w:type="fixed"/>
        <w:tblCellMar>
          <w:left w:w="0" w:type="dxa"/>
          <w:right w:w="0" w:type="dxa"/>
        </w:tblCellMar>
        <w:tblLook w:val="0000" w:firstRow="0" w:lastRow="0" w:firstColumn="0" w:lastColumn="0" w:noHBand="0" w:noVBand="0"/>
      </w:tblPr>
      <w:tblGrid>
        <w:gridCol w:w="6168"/>
        <w:gridCol w:w="34"/>
        <w:gridCol w:w="1651"/>
        <w:gridCol w:w="48"/>
      </w:tblGrid>
      <w:tr w:rsidR="00420FA5" w:rsidRPr="00420FA5">
        <w:tblPrEx>
          <w:tblCellMar>
            <w:top w:w="0" w:type="dxa"/>
            <w:left w:w="0" w:type="dxa"/>
            <w:bottom w:w="0" w:type="dxa"/>
            <w:right w:w="0" w:type="dxa"/>
          </w:tblCellMar>
        </w:tblPrEx>
        <w:trPr>
          <w:gridAfter w:val="1"/>
          <w:wAfter w:w="48" w:type="dxa"/>
          <w:trHeight w:val="629"/>
        </w:trPr>
        <w:tc>
          <w:tcPr>
            <w:tcW w:w="6168" w:type="dxa"/>
            <w:tcBorders>
              <w:top w:val="single" w:sz="4" w:space="0" w:color="auto"/>
              <w:left w:val="single" w:sz="4" w:space="0" w:color="auto"/>
              <w:bottom w:val="nil"/>
              <w:right w:val="nil"/>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Социални услуги възложени на НПО</w:t>
            </w:r>
          </w:p>
        </w:tc>
        <w:tc>
          <w:tcPr>
            <w:tcW w:w="1685" w:type="dxa"/>
            <w:gridSpan w:val="2"/>
            <w:tcBorders>
              <w:top w:val="single" w:sz="4" w:space="0" w:color="auto"/>
              <w:left w:val="single" w:sz="4" w:space="0" w:color="auto"/>
              <w:bottom w:val="nil"/>
              <w:right w:val="single" w:sz="4" w:space="0" w:color="auto"/>
            </w:tcBorders>
            <w:shd w:val="clear" w:color="auto" w:fill="FFFFFF"/>
            <w:vAlign w:val="bottom"/>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Сума в лв.</w:t>
            </w:r>
          </w:p>
        </w:tc>
      </w:tr>
      <w:tr w:rsidR="00420FA5" w:rsidRPr="00420FA5">
        <w:tblPrEx>
          <w:tblCellMar>
            <w:top w:w="0" w:type="dxa"/>
            <w:left w:w="0" w:type="dxa"/>
            <w:bottom w:w="0" w:type="dxa"/>
            <w:right w:w="0" w:type="dxa"/>
          </w:tblCellMar>
        </w:tblPrEx>
        <w:trPr>
          <w:gridAfter w:val="1"/>
          <w:wAfter w:w="48" w:type="dxa"/>
          <w:trHeight w:val="490"/>
        </w:trPr>
        <w:tc>
          <w:tcPr>
            <w:tcW w:w="6168" w:type="dxa"/>
            <w:tcBorders>
              <w:top w:val="single" w:sz="4" w:space="0" w:color="auto"/>
              <w:left w:val="single" w:sz="4" w:space="0" w:color="auto"/>
              <w:bottom w:val="nil"/>
              <w:right w:val="nil"/>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ДУПУЛ 1551 "Дневен център за лица с вреждания"</w:t>
            </w:r>
          </w:p>
        </w:tc>
        <w:tc>
          <w:tcPr>
            <w:tcW w:w="1685" w:type="dxa"/>
            <w:gridSpan w:val="2"/>
            <w:tcBorders>
              <w:top w:val="single" w:sz="4" w:space="0" w:color="auto"/>
              <w:left w:val="single" w:sz="4" w:space="0" w:color="auto"/>
              <w:bottom w:val="nil"/>
              <w:right w:val="single" w:sz="4" w:space="0" w:color="auto"/>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913 465 лв.</w:t>
            </w:r>
          </w:p>
        </w:tc>
      </w:tr>
      <w:tr w:rsidR="00420FA5" w:rsidRPr="00420FA5">
        <w:tblPrEx>
          <w:tblCellMar>
            <w:top w:w="0" w:type="dxa"/>
            <w:left w:w="0" w:type="dxa"/>
            <w:bottom w:w="0" w:type="dxa"/>
            <w:right w:w="0" w:type="dxa"/>
          </w:tblCellMar>
        </w:tblPrEx>
        <w:trPr>
          <w:gridAfter w:val="1"/>
          <w:wAfter w:w="48" w:type="dxa"/>
          <w:trHeight w:val="432"/>
        </w:trPr>
        <w:tc>
          <w:tcPr>
            <w:tcW w:w="6168" w:type="dxa"/>
            <w:tcBorders>
              <w:top w:val="single" w:sz="4" w:space="0" w:color="auto"/>
              <w:left w:val="single" w:sz="4" w:space="0" w:color="auto"/>
              <w:bottom w:val="nil"/>
              <w:right w:val="nil"/>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ДУПУЛ 1554 "ЗЖ с. Царева ливада"</w:t>
            </w:r>
          </w:p>
        </w:tc>
        <w:tc>
          <w:tcPr>
            <w:tcW w:w="1685" w:type="dxa"/>
            <w:gridSpan w:val="2"/>
            <w:tcBorders>
              <w:top w:val="single" w:sz="4" w:space="0" w:color="auto"/>
              <w:left w:val="single" w:sz="4" w:space="0" w:color="auto"/>
              <w:bottom w:val="nil"/>
              <w:right w:val="single" w:sz="4" w:space="0" w:color="auto"/>
            </w:tcBorders>
            <w:shd w:val="clear" w:color="auto" w:fill="FFFFFF"/>
            <w:vAlign w:val="center"/>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438 860 лв.</w:t>
            </w:r>
          </w:p>
        </w:tc>
      </w:tr>
      <w:tr w:rsidR="00420FA5" w:rsidRPr="00420FA5">
        <w:tblPrEx>
          <w:tblCellMar>
            <w:top w:w="0" w:type="dxa"/>
            <w:left w:w="0" w:type="dxa"/>
            <w:bottom w:w="0" w:type="dxa"/>
            <w:right w:w="0" w:type="dxa"/>
          </w:tblCellMar>
        </w:tblPrEx>
        <w:trPr>
          <w:gridAfter w:val="1"/>
          <w:wAfter w:w="48" w:type="dxa"/>
          <w:trHeight w:val="365"/>
        </w:trPr>
        <w:tc>
          <w:tcPr>
            <w:tcW w:w="6168"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Всичко ДУПУЛ</w:t>
            </w:r>
          </w:p>
        </w:tc>
        <w:tc>
          <w:tcPr>
            <w:tcW w:w="1685" w:type="dxa"/>
            <w:gridSpan w:val="2"/>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1 352 325 лв.</w:t>
            </w:r>
          </w:p>
        </w:tc>
      </w:tr>
      <w:tr w:rsidR="00420FA5" w:rsidRPr="00420FA5">
        <w:tblPrEx>
          <w:tblCellMar>
            <w:top w:w="0" w:type="dxa"/>
            <w:left w:w="0" w:type="dxa"/>
            <w:bottom w:w="0" w:type="dxa"/>
            <w:right w:w="0" w:type="dxa"/>
          </w:tblCellMar>
        </w:tblPrEx>
        <w:trPr>
          <w:gridAfter w:val="1"/>
          <w:wAfter w:w="48" w:type="dxa"/>
          <w:trHeight w:val="355"/>
        </w:trPr>
        <w:tc>
          <w:tcPr>
            <w:tcW w:w="6168" w:type="dxa"/>
            <w:tcBorders>
              <w:top w:val="single" w:sz="4" w:space="0" w:color="auto"/>
              <w:left w:val="single" w:sz="4" w:space="0" w:color="auto"/>
              <w:bottom w:val="nil"/>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ДСП 1554 "ЗЖ Дряново"</w:t>
            </w:r>
          </w:p>
        </w:tc>
        <w:tc>
          <w:tcPr>
            <w:tcW w:w="1685" w:type="dxa"/>
            <w:gridSpan w:val="2"/>
            <w:tcBorders>
              <w:top w:val="single" w:sz="4" w:space="0" w:color="auto"/>
              <w:left w:val="single" w:sz="4" w:space="0" w:color="auto"/>
              <w:bottom w:val="nil"/>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203 964 лв.</w:t>
            </w:r>
          </w:p>
        </w:tc>
      </w:tr>
      <w:tr w:rsidR="00420FA5" w:rsidRPr="00420FA5">
        <w:tblPrEx>
          <w:tblCellMar>
            <w:top w:w="0" w:type="dxa"/>
            <w:left w:w="0" w:type="dxa"/>
            <w:bottom w:w="0" w:type="dxa"/>
            <w:right w:w="0" w:type="dxa"/>
          </w:tblCellMar>
        </w:tblPrEx>
        <w:trPr>
          <w:gridAfter w:val="1"/>
          <w:wAfter w:w="48" w:type="dxa"/>
          <w:trHeight w:val="379"/>
        </w:trPr>
        <w:tc>
          <w:tcPr>
            <w:tcW w:w="6168" w:type="dxa"/>
            <w:tcBorders>
              <w:top w:val="single" w:sz="4" w:space="0" w:color="auto"/>
              <w:left w:val="single" w:sz="4" w:space="0" w:color="auto"/>
              <w:bottom w:val="single" w:sz="4" w:space="0" w:color="auto"/>
              <w:right w:val="nil"/>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ДСП 1554 "ЗЖ Гостилица"</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420FA5" w:rsidRPr="00420FA5" w:rsidRDefault="00420FA5" w:rsidP="00420FA5">
            <w:pPr>
              <w:spacing w:after="0" w:line="240" w:lineRule="auto"/>
              <w:jc w:val="both"/>
              <w:rPr>
                <w:rFonts w:ascii="Verdana" w:hAnsi="Verdana"/>
                <w:sz w:val="20"/>
                <w:szCs w:val="20"/>
              </w:rPr>
            </w:pPr>
            <w:r w:rsidRPr="00420FA5">
              <w:rPr>
                <w:rFonts w:ascii="Verdana" w:hAnsi="Verdana"/>
                <w:sz w:val="20"/>
                <w:szCs w:val="20"/>
              </w:rPr>
              <w:t>229 002 лв.</w:t>
            </w:r>
          </w:p>
        </w:tc>
      </w:tr>
      <w:tr w:rsidR="008A126B" w:rsidRPr="00420FA5">
        <w:tblPrEx>
          <w:tblCellMar>
            <w:top w:w="0" w:type="dxa"/>
            <w:left w:w="0" w:type="dxa"/>
            <w:bottom w:w="0" w:type="dxa"/>
            <w:right w:w="0" w:type="dxa"/>
          </w:tblCellMar>
        </w:tblPrEx>
        <w:trPr>
          <w:gridAfter w:val="1"/>
          <w:wAfter w:w="48" w:type="dxa"/>
          <w:trHeight w:val="379"/>
        </w:trPr>
        <w:tc>
          <w:tcPr>
            <w:tcW w:w="6168" w:type="dxa"/>
            <w:tcBorders>
              <w:top w:val="single" w:sz="4" w:space="0" w:color="auto"/>
              <w:left w:val="single" w:sz="4" w:space="0" w:color="auto"/>
              <w:bottom w:val="single" w:sz="4" w:space="0" w:color="auto"/>
              <w:right w:val="nil"/>
            </w:tcBorders>
            <w:shd w:val="clear" w:color="auto" w:fill="FFFFFF"/>
          </w:tcPr>
          <w:p w:rsidR="008A126B" w:rsidRPr="00420FA5" w:rsidRDefault="008A126B" w:rsidP="00420FA5">
            <w:pPr>
              <w:spacing w:after="0" w:line="240" w:lineRule="auto"/>
              <w:jc w:val="both"/>
              <w:rPr>
                <w:rFonts w:ascii="Verdana" w:hAnsi="Verdana"/>
                <w:sz w:val="20"/>
                <w:szCs w:val="20"/>
              </w:rPr>
            </w:pPr>
            <w:r>
              <w:rPr>
                <w:rFonts w:ascii="Verdana" w:hAnsi="Verdana"/>
                <w:sz w:val="20"/>
                <w:szCs w:val="20"/>
              </w:rPr>
              <w:t>Всичко ДСП</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8A126B" w:rsidRPr="00420FA5" w:rsidRDefault="008A126B" w:rsidP="00420FA5">
            <w:pPr>
              <w:spacing w:after="0" w:line="240" w:lineRule="auto"/>
              <w:jc w:val="both"/>
              <w:rPr>
                <w:rFonts w:ascii="Verdana" w:hAnsi="Verdana"/>
                <w:sz w:val="20"/>
                <w:szCs w:val="20"/>
              </w:rPr>
            </w:pPr>
            <w:r>
              <w:rPr>
                <w:rFonts w:ascii="Verdana" w:hAnsi="Verdana"/>
                <w:sz w:val="20"/>
                <w:szCs w:val="20"/>
              </w:rPr>
              <w:t>432 966 лв.</w:t>
            </w:r>
          </w:p>
        </w:tc>
      </w:tr>
      <w:tr w:rsidR="00B773E2" w:rsidRPr="00B773E2">
        <w:tblPrEx>
          <w:tblCellMar>
            <w:top w:w="0" w:type="dxa"/>
            <w:left w:w="0" w:type="dxa"/>
            <w:bottom w:w="0" w:type="dxa"/>
            <w:right w:w="0" w:type="dxa"/>
          </w:tblCellMar>
        </w:tblPrEx>
        <w:trPr>
          <w:trHeight w:val="370"/>
        </w:trPr>
        <w:tc>
          <w:tcPr>
            <w:tcW w:w="6202" w:type="dxa"/>
            <w:gridSpan w:val="2"/>
            <w:tcBorders>
              <w:top w:val="single" w:sz="4" w:space="0" w:color="auto"/>
              <w:left w:val="single" w:sz="4" w:space="0" w:color="auto"/>
              <w:bottom w:val="nil"/>
              <w:right w:val="nil"/>
            </w:tcBorders>
            <w:shd w:val="clear" w:color="auto" w:fill="FFFFFF"/>
          </w:tcPr>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ЦОП 1526</w:t>
            </w:r>
          </w:p>
        </w:tc>
        <w:tc>
          <w:tcPr>
            <w:tcW w:w="1699" w:type="dxa"/>
            <w:gridSpan w:val="2"/>
            <w:tcBorders>
              <w:top w:val="single" w:sz="4" w:space="0" w:color="auto"/>
              <w:left w:val="single" w:sz="4" w:space="0" w:color="auto"/>
              <w:bottom w:val="nil"/>
              <w:right w:val="single" w:sz="4" w:space="0" w:color="auto"/>
            </w:tcBorders>
            <w:shd w:val="clear" w:color="auto" w:fill="FFFFFF"/>
          </w:tcPr>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195 050 лв.</w:t>
            </w:r>
          </w:p>
        </w:tc>
      </w:tr>
      <w:tr w:rsidR="00B773E2" w:rsidRPr="00B773E2">
        <w:tblPrEx>
          <w:tblCellMar>
            <w:top w:w="0" w:type="dxa"/>
            <w:left w:w="0" w:type="dxa"/>
            <w:bottom w:w="0" w:type="dxa"/>
            <w:right w:w="0" w:type="dxa"/>
          </w:tblCellMar>
        </w:tblPrEx>
        <w:trPr>
          <w:trHeight w:val="384"/>
        </w:trPr>
        <w:tc>
          <w:tcPr>
            <w:tcW w:w="6202" w:type="dxa"/>
            <w:gridSpan w:val="2"/>
            <w:tcBorders>
              <w:top w:val="single" w:sz="4" w:space="0" w:color="auto"/>
              <w:left w:val="single" w:sz="4" w:space="0" w:color="auto"/>
              <w:bottom w:val="single" w:sz="4" w:space="0" w:color="auto"/>
              <w:right w:val="nil"/>
            </w:tcBorders>
            <w:shd w:val="clear" w:color="auto" w:fill="FFFFFF"/>
          </w:tcPr>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Всичко:</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1 980 341 лв.</w:t>
            </w:r>
          </w:p>
        </w:tc>
      </w:tr>
    </w:tbl>
    <w:p w:rsidR="00B773E2" w:rsidRPr="00B773E2" w:rsidRDefault="00B773E2" w:rsidP="00B773E2">
      <w:pPr>
        <w:spacing w:after="0" w:line="240" w:lineRule="auto"/>
        <w:jc w:val="both"/>
        <w:rPr>
          <w:rFonts w:ascii="Verdana" w:hAnsi="Verdana"/>
          <w:sz w:val="20"/>
          <w:szCs w:val="20"/>
        </w:rPr>
      </w:pP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5.</w:t>
      </w:r>
      <w:r w:rsidRPr="00B773E2">
        <w:rPr>
          <w:rFonts w:ascii="Verdana" w:hAnsi="Verdana"/>
          <w:sz w:val="20"/>
          <w:szCs w:val="20"/>
        </w:rPr>
        <w:tab/>
        <w:t>Приема инвестиционната програма в размер на 8 556 431 лв. по обекти и източници на финансиране, както следва: /Приложение №1/.</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5.1.</w:t>
      </w:r>
      <w:r w:rsidRPr="00B773E2">
        <w:rPr>
          <w:rFonts w:ascii="Verdana" w:hAnsi="Verdana"/>
          <w:sz w:val="20"/>
          <w:szCs w:val="20"/>
        </w:rPr>
        <w:tab/>
        <w:t>целева субсидия за капиталови разходи - 1 760 100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5.2.</w:t>
      </w:r>
      <w:r w:rsidRPr="00B773E2">
        <w:rPr>
          <w:rFonts w:ascii="Verdana" w:hAnsi="Verdana"/>
          <w:sz w:val="20"/>
          <w:szCs w:val="20"/>
        </w:rPr>
        <w:tab/>
        <w:t>собствени средства и преходни остатъци от 2023 г. - 1 881 601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5.3.</w:t>
      </w:r>
      <w:r w:rsidRPr="00B773E2">
        <w:rPr>
          <w:rFonts w:ascii="Verdana" w:hAnsi="Verdana"/>
          <w:sz w:val="20"/>
          <w:szCs w:val="20"/>
        </w:rPr>
        <w:tab/>
        <w:t>постъпления от продажба на нефинансови активи - 459 300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5.4.</w:t>
      </w:r>
      <w:r w:rsidRPr="00B773E2">
        <w:rPr>
          <w:rFonts w:ascii="Verdana" w:hAnsi="Verdana"/>
          <w:sz w:val="20"/>
          <w:szCs w:val="20"/>
        </w:rPr>
        <w:tab/>
        <w:t>други източници - 4 455 430 лв.</w:t>
      </w:r>
    </w:p>
    <w:p w:rsidR="00DB5A5C" w:rsidRDefault="00DB5A5C" w:rsidP="00B773E2">
      <w:pPr>
        <w:spacing w:after="0" w:line="240" w:lineRule="auto"/>
        <w:jc w:val="both"/>
        <w:rPr>
          <w:rFonts w:ascii="Verdana" w:hAnsi="Verdana"/>
          <w:sz w:val="20"/>
          <w:szCs w:val="20"/>
        </w:rPr>
      </w:pP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6.</w:t>
      </w:r>
      <w:r w:rsidRPr="00B773E2">
        <w:rPr>
          <w:rFonts w:ascii="Verdana" w:hAnsi="Verdana"/>
          <w:sz w:val="20"/>
          <w:szCs w:val="20"/>
        </w:rPr>
        <w:tab/>
        <w:t>Одобрява индикативен разчет за сметките за средства от ЕС в размер на - 4 455 430 лв., /съгл. Приложение №2/.</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w:t>
      </w:r>
      <w:r w:rsidRPr="00B773E2">
        <w:rPr>
          <w:rFonts w:ascii="Verdana" w:hAnsi="Verdana"/>
          <w:sz w:val="20"/>
          <w:szCs w:val="20"/>
        </w:rPr>
        <w:tab/>
        <w:t>Утвърждава разчет за целеви разходи и субсидии, както следва:</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7.1.</w:t>
      </w:r>
      <w:r w:rsidRPr="00B773E2">
        <w:rPr>
          <w:rFonts w:ascii="Verdana" w:hAnsi="Verdana"/>
          <w:sz w:val="20"/>
          <w:szCs w:val="20"/>
        </w:rPr>
        <w:tab/>
        <w:t>Членски внос - 11090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7.2.</w:t>
      </w:r>
      <w:r w:rsidRPr="00B773E2">
        <w:rPr>
          <w:rFonts w:ascii="Verdana" w:hAnsi="Verdana"/>
          <w:sz w:val="20"/>
          <w:szCs w:val="20"/>
        </w:rPr>
        <w:tab/>
        <w:t>Помощи по решение на Общински съвет - 85000 лв., в т.ч.:</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7.2.1.</w:t>
      </w:r>
      <w:r w:rsidRPr="00B773E2">
        <w:rPr>
          <w:rFonts w:ascii="Verdana" w:hAnsi="Verdana"/>
          <w:sz w:val="20"/>
          <w:szCs w:val="20"/>
        </w:rPr>
        <w:tab/>
        <w:t>еднократни помощи при раждане на дете, обща сума - 20000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7.2.2.</w:t>
      </w:r>
      <w:r w:rsidRPr="00B773E2">
        <w:rPr>
          <w:rFonts w:ascii="Verdana" w:hAnsi="Verdana"/>
          <w:sz w:val="20"/>
          <w:szCs w:val="20"/>
        </w:rPr>
        <w:tab/>
        <w:t>помощи за погребения на бездомни и безпризорни граждани - 3000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7.2.3.</w:t>
      </w:r>
      <w:r w:rsidRPr="00B773E2">
        <w:rPr>
          <w:rFonts w:ascii="Verdana" w:hAnsi="Verdana"/>
          <w:sz w:val="20"/>
          <w:szCs w:val="20"/>
        </w:rPr>
        <w:tab/>
        <w:t>за финансиране на лица с репродуктивни проблеми - 5000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7.3.</w:t>
      </w:r>
      <w:r w:rsidRPr="00B773E2">
        <w:rPr>
          <w:rFonts w:ascii="Verdana" w:hAnsi="Verdana"/>
          <w:sz w:val="20"/>
          <w:szCs w:val="20"/>
        </w:rPr>
        <w:tab/>
        <w:t>сираци абитуриенти през 2024 г. общо - 1000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7.4.</w:t>
      </w:r>
      <w:r w:rsidRPr="00B773E2">
        <w:rPr>
          <w:rFonts w:ascii="Verdana" w:hAnsi="Verdana"/>
          <w:sz w:val="20"/>
          <w:szCs w:val="20"/>
        </w:rPr>
        <w:tab/>
        <w:t>стипендии „М. Райкович" за учебната 2023/2024 г. - 3000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7.5.</w:t>
      </w:r>
      <w:r w:rsidRPr="00B773E2">
        <w:rPr>
          <w:rFonts w:ascii="Verdana" w:hAnsi="Verdana"/>
          <w:sz w:val="20"/>
          <w:szCs w:val="20"/>
        </w:rPr>
        <w:tab/>
        <w:t>за финансиране на Общинска програма за закрила на детето - 4000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7.6.</w:t>
      </w:r>
      <w:r w:rsidRPr="00B773E2">
        <w:rPr>
          <w:rFonts w:ascii="Verdana" w:hAnsi="Verdana"/>
          <w:sz w:val="20"/>
          <w:szCs w:val="20"/>
        </w:rPr>
        <w:tab/>
        <w:t>за финансиране на Общински план за интеграция на ромите - 2000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7.7.</w:t>
      </w:r>
      <w:r w:rsidRPr="00B773E2">
        <w:rPr>
          <w:rFonts w:ascii="Verdana" w:hAnsi="Verdana"/>
          <w:sz w:val="20"/>
          <w:szCs w:val="20"/>
        </w:rPr>
        <w:tab/>
        <w:t>за финансиране на младежки дейности по програмата за развитие на младежта - 2000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7.8.</w:t>
      </w:r>
      <w:r w:rsidRPr="00B773E2">
        <w:rPr>
          <w:rFonts w:ascii="Verdana" w:hAnsi="Verdana"/>
          <w:sz w:val="20"/>
          <w:szCs w:val="20"/>
        </w:rPr>
        <w:tab/>
        <w:t>Отпуска финансови средства на Регионален хоспис за подпомагане на терминално настанени болни, живущи на територията на община Дряново в размер на - 32000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7.9.</w:t>
      </w:r>
      <w:r w:rsidRPr="00B773E2">
        <w:rPr>
          <w:rFonts w:ascii="Verdana" w:hAnsi="Verdana"/>
          <w:sz w:val="20"/>
          <w:szCs w:val="20"/>
        </w:rPr>
        <w:tab/>
        <w:t>Подпомагане с лекарства болни с бъбречни заболявания за провеждане на хемодиализа - 4000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7.10.</w:t>
      </w:r>
      <w:r w:rsidRPr="00B773E2">
        <w:rPr>
          <w:rFonts w:ascii="Verdana" w:hAnsi="Verdana"/>
          <w:sz w:val="20"/>
          <w:szCs w:val="20"/>
        </w:rPr>
        <w:tab/>
        <w:t>Отпуска стипендии за изявени ученици в размер на - 9000 лв.</w:t>
      </w: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7.11.</w:t>
      </w:r>
      <w:r w:rsidRPr="00B773E2">
        <w:rPr>
          <w:rFonts w:ascii="Verdana" w:hAnsi="Verdana"/>
          <w:sz w:val="20"/>
          <w:szCs w:val="20"/>
        </w:rPr>
        <w:tab/>
        <w:t>За солидарен фонд - 5000 лв.</w:t>
      </w:r>
    </w:p>
    <w:p w:rsidR="00E475B0" w:rsidRDefault="00E475B0" w:rsidP="00B773E2">
      <w:pPr>
        <w:spacing w:after="0" w:line="240" w:lineRule="auto"/>
        <w:jc w:val="both"/>
        <w:rPr>
          <w:rFonts w:ascii="Verdana" w:hAnsi="Verdana"/>
          <w:sz w:val="20"/>
          <w:szCs w:val="20"/>
        </w:rPr>
      </w:pPr>
    </w:p>
    <w:p w:rsidR="00B773E2" w:rsidRPr="00B773E2" w:rsidRDefault="00B773E2" w:rsidP="00B773E2">
      <w:pPr>
        <w:spacing w:after="0" w:line="240" w:lineRule="auto"/>
        <w:jc w:val="both"/>
        <w:rPr>
          <w:rFonts w:ascii="Verdana" w:hAnsi="Verdana"/>
          <w:sz w:val="20"/>
          <w:szCs w:val="20"/>
        </w:rPr>
      </w:pPr>
      <w:r w:rsidRPr="00B773E2">
        <w:rPr>
          <w:rFonts w:ascii="Verdana" w:hAnsi="Verdana"/>
          <w:sz w:val="20"/>
          <w:szCs w:val="20"/>
        </w:rPr>
        <w:t>8.</w:t>
      </w:r>
      <w:r w:rsidRPr="00B773E2">
        <w:rPr>
          <w:rFonts w:ascii="Verdana" w:hAnsi="Verdana"/>
          <w:sz w:val="20"/>
          <w:szCs w:val="20"/>
        </w:rPr>
        <w:tab/>
        <w:t>Субсидии за:</w:t>
      </w:r>
    </w:p>
    <w:p w:rsidR="004B107C" w:rsidRPr="004B107C" w:rsidRDefault="00B773E2" w:rsidP="004B107C">
      <w:pPr>
        <w:spacing w:after="0" w:line="240" w:lineRule="auto"/>
        <w:jc w:val="both"/>
        <w:rPr>
          <w:rFonts w:ascii="Verdana" w:hAnsi="Verdana"/>
          <w:sz w:val="20"/>
          <w:szCs w:val="20"/>
        </w:rPr>
      </w:pPr>
      <w:r w:rsidRPr="00B773E2">
        <w:rPr>
          <w:rFonts w:ascii="Verdana" w:hAnsi="Verdana"/>
          <w:sz w:val="20"/>
          <w:szCs w:val="20"/>
        </w:rPr>
        <w:t>8.1. читалища - 468 832 лв., като възлага и делегира права на кмета на Общината да издаде заповед, с която да назначи и определи състава на комисията, съгласно чл. 23, ал. 1 от ЗНЧ, която да разпредели предвидените</w:t>
      </w:r>
      <w:r w:rsidR="00E475B0">
        <w:rPr>
          <w:rFonts w:ascii="Verdana" w:hAnsi="Verdana"/>
          <w:sz w:val="20"/>
          <w:szCs w:val="20"/>
        </w:rPr>
        <w:t xml:space="preserve"> </w:t>
      </w:r>
      <w:r w:rsidR="004B107C" w:rsidRPr="004B107C">
        <w:rPr>
          <w:rFonts w:ascii="Verdana" w:hAnsi="Verdana"/>
          <w:sz w:val="20"/>
          <w:szCs w:val="20"/>
        </w:rPr>
        <w:t>средства по бюджета на Общината, разпределени на читалищата регистрирани в Община Дряново съгласно Приложение №3. Преходният остатък в размер на 16 428 лв. се разпределя по бюджета на читалищата, което не са усвоили субсидията си за 2023 год.</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8.2. Субсидии за спортни клубове и спортни събития.</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lastRenderedPageBreak/>
        <w:t>8.2.1.</w:t>
      </w:r>
      <w:r w:rsidRPr="004B107C">
        <w:rPr>
          <w:rFonts w:ascii="Verdana" w:hAnsi="Verdana"/>
          <w:sz w:val="20"/>
          <w:szCs w:val="20"/>
        </w:rPr>
        <w:tab/>
        <w:t>Субсидии за 2024 год. за спортни клубове и спортист на годината, разпределени от комисия, назначена със заповед на кмета, в общ размер на 77 000 лв., както следва:</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ФК „Локомотив 1927" - 25000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Лека атлетика - 17000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Спортен клуб по ориентиране „Бачо Киро - 94" - 6000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Тенис клуб „Кристи" - 8000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ФК „Боруна" - 3000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СК на хора с увреждания „Успех-Дряново" - 5000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СК боксов клуб „Локомотив" - 8000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За „Спортист на годината" - 3500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шахматен турнир, посветен на Априлската епопея - 1500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8.2.2.</w:t>
      </w:r>
      <w:r w:rsidRPr="004B107C">
        <w:rPr>
          <w:rFonts w:ascii="Verdana" w:hAnsi="Verdana"/>
          <w:sz w:val="20"/>
          <w:szCs w:val="20"/>
        </w:rPr>
        <w:tab/>
        <w:t>Други средства за финансиране на спортни събития за 2024 г.:</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Състезание по спортно ориентиране за Купа „Дряново", финансиран със средства от МКБППМН - 3000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Шосеен пробег „Колю Фичето", финансиран със средства от МКБППМН - 3000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Турнир по футбол ДЮШ, финансиран със средства от МКБППМН - 2 000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Коледен турнир по футбол ДЮШ, финансиран със средства от МКБППМН - 2000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Турнир по тенис на корт, финансиран със средства от МКБППМН- 2 000 лв.;</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8.2.3.</w:t>
      </w:r>
      <w:r w:rsidRPr="004B107C">
        <w:rPr>
          <w:rFonts w:ascii="Verdana" w:hAnsi="Verdana"/>
          <w:sz w:val="20"/>
          <w:szCs w:val="20"/>
        </w:rPr>
        <w:tab/>
        <w:t>Определя видовете разходи, за които може да се изразходва</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субсидията:</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хонорари по граждански договори и/или възнаграждения по трудови договори за треньорския състав - до 40% от субсидията за спортния клуб.</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транспортни разходи.</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екипировка и спортни пособия.</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съдийски такси и такси за участия.</w:t>
      </w:r>
    </w:p>
    <w:p w:rsidR="004B107C" w:rsidRPr="004B107C" w:rsidRDefault="004B107C" w:rsidP="004B107C">
      <w:pPr>
        <w:spacing w:after="0" w:line="240" w:lineRule="auto"/>
        <w:jc w:val="both"/>
        <w:rPr>
          <w:rFonts w:ascii="Verdana" w:hAnsi="Verdana"/>
          <w:sz w:val="20"/>
          <w:szCs w:val="20"/>
        </w:rPr>
      </w:pPr>
      <w:r w:rsidRPr="004B107C">
        <w:rPr>
          <w:rFonts w:ascii="Verdana" w:hAnsi="Verdana"/>
          <w:sz w:val="20"/>
          <w:szCs w:val="20"/>
        </w:rPr>
        <w:t>-</w:t>
      </w:r>
      <w:r w:rsidRPr="004B107C">
        <w:rPr>
          <w:rFonts w:ascii="Verdana" w:hAnsi="Verdana"/>
          <w:sz w:val="20"/>
          <w:szCs w:val="20"/>
        </w:rPr>
        <w:tab/>
        <w:t>разходи за командировка.</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w:t>
      </w:r>
      <w:r w:rsidRPr="0030592B">
        <w:rPr>
          <w:rFonts w:ascii="Verdana" w:hAnsi="Verdana"/>
          <w:sz w:val="20"/>
          <w:szCs w:val="20"/>
        </w:rPr>
        <w:tab/>
        <w:t>стипендии за изявени спортисти.</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w:t>
      </w:r>
      <w:r w:rsidRPr="0030592B">
        <w:rPr>
          <w:rFonts w:ascii="Verdana" w:hAnsi="Verdana"/>
          <w:sz w:val="20"/>
          <w:szCs w:val="20"/>
        </w:rPr>
        <w:tab/>
        <w:t>закупуване на медикаменти.</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8.2.4.</w:t>
      </w:r>
      <w:r w:rsidRPr="0030592B">
        <w:rPr>
          <w:rFonts w:ascii="Verdana" w:hAnsi="Verdana"/>
          <w:sz w:val="20"/>
          <w:szCs w:val="20"/>
        </w:rPr>
        <w:tab/>
        <w:t>Задължава ръководителите на спортните клубове да изразходват 10 % от предоставената субсидия за изплащане на стипендии на изявени спортисти.</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8.2.5.</w:t>
      </w:r>
      <w:r w:rsidRPr="0030592B">
        <w:rPr>
          <w:rFonts w:ascii="Verdana" w:hAnsi="Verdana"/>
          <w:sz w:val="20"/>
          <w:szCs w:val="20"/>
        </w:rPr>
        <w:tab/>
        <w:t>Субсидията се изплаща от общината след представяне на решение за регистрация на съответния клуб, на части, съобразена със спортния календар на всеки клуб. След получаване на първото финансиране всеки клуб следва да представи финансов отчет в двуседмичен срок от провеждането на състезанието, непредставянето на същия е основание за спиране на финансирането. Неизразходваните по предназначение средства се възстановяват в общинския бюджет.</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8.3.</w:t>
      </w:r>
      <w:r w:rsidRPr="0030592B">
        <w:rPr>
          <w:rFonts w:ascii="Verdana" w:hAnsi="Verdana"/>
          <w:sz w:val="20"/>
          <w:szCs w:val="20"/>
        </w:rPr>
        <w:tab/>
        <w:t>Клубове на пенсионера и инвалида - 10 000 лв. в т.ч. Пенсионерски клуб Дряново - 6500 лв., Пенсионерски клуб с. Царева ливада - 1800 лв., Пенсионерски клуб с. Гостилица - 1200 лв.</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8.4.</w:t>
      </w:r>
      <w:r w:rsidRPr="0030592B">
        <w:rPr>
          <w:rFonts w:ascii="Verdana" w:hAnsi="Verdana"/>
          <w:sz w:val="20"/>
          <w:szCs w:val="20"/>
        </w:rPr>
        <w:tab/>
        <w:t>Клуб на инвалида с. Гостилица - 500 лв.</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8.5.</w:t>
      </w:r>
      <w:r w:rsidRPr="0030592B">
        <w:rPr>
          <w:rFonts w:ascii="Verdana" w:hAnsi="Verdana"/>
          <w:sz w:val="20"/>
          <w:szCs w:val="20"/>
        </w:rPr>
        <w:tab/>
        <w:t>Субсидията по т. 8.2 т. 8.3 и 8.4. се отпуска от Общината на части като след усвояването на всяка част се представя финансов отчет от всеки клуб с приложени разходооправдателни документи.</w:t>
      </w:r>
    </w:p>
    <w:p w:rsidR="0030592B" w:rsidRDefault="0030592B" w:rsidP="0030592B">
      <w:pPr>
        <w:spacing w:after="0" w:line="240" w:lineRule="auto"/>
        <w:jc w:val="both"/>
        <w:rPr>
          <w:rFonts w:ascii="Verdana" w:hAnsi="Verdana"/>
          <w:sz w:val="20"/>
          <w:szCs w:val="20"/>
        </w:rPr>
      </w:pP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9. Приема следните лимити за разходи:</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9.1. Реализираният преходен остатък от предходната година в държавните дейности се разпределя за покриване на разходи в същите дейности, в които са реализирани, включително и за инвестиционни разходи, а в местните дейности се изразходват съгласно решение на Общинския съвет.</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t>9.2.</w:t>
      </w:r>
      <w:r w:rsidRPr="0030592B">
        <w:rPr>
          <w:rFonts w:ascii="Verdana" w:hAnsi="Verdana"/>
          <w:sz w:val="20"/>
          <w:szCs w:val="20"/>
        </w:rPr>
        <w:tab/>
        <w:t>Социално - битови в размер до 3 % от средствата за работна заплата на заетите по трудови правоотношения и заложените по стандарта за делегираните от държавата дейности при достатъчен ресурс, а за местните дейности при осигурено финансиране от собствени приходи.</w:t>
      </w:r>
    </w:p>
    <w:p w:rsidR="0030592B" w:rsidRPr="0030592B" w:rsidRDefault="0030592B" w:rsidP="0030592B">
      <w:pPr>
        <w:spacing w:after="0" w:line="240" w:lineRule="auto"/>
        <w:jc w:val="both"/>
        <w:rPr>
          <w:rFonts w:ascii="Verdana" w:hAnsi="Verdana"/>
          <w:sz w:val="20"/>
          <w:szCs w:val="20"/>
        </w:rPr>
      </w:pPr>
      <w:r w:rsidRPr="0030592B">
        <w:rPr>
          <w:rFonts w:ascii="Verdana" w:hAnsi="Verdana"/>
          <w:sz w:val="20"/>
          <w:szCs w:val="20"/>
        </w:rPr>
        <w:lastRenderedPageBreak/>
        <w:t>9.3.</w:t>
      </w:r>
      <w:r w:rsidRPr="0030592B">
        <w:rPr>
          <w:rFonts w:ascii="Verdana" w:hAnsi="Verdana"/>
          <w:sz w:val="20"/>
          <w:szCs w:val="20"/>
        </w:rPr>
        <w:tab/>
        <w:t>Разходи за работно и униформено облекло, съгласно Кодекса на труда и Закона за държавния служител както следва:</w:t>
      </w:r>
    </w:p>
    <w:p w:rsidR="002D5D7F" w:rsidRDefault="0030592B" w:rsidP="002D5D7F">
      <w:pPr>
        <w:spacing w:after="0" w:line="240" w:lineRule="auto"/>
        <w:jc w:val="both"/>
        <w:rPr>
          <w:rFonts w:ascii="Verdana" w:hAnsi="Verdana"/>
          <w:sz w:val="20"/>
          <w:szCs w:val="20"/>
        </w:rPr>
      </w:pPr>
      <w:r w:rsidRPr="0030592B">
        <w:rPr>
          <w:rFonts w:ascii="Verdana" w:hAnsi="Verdana"/>
          <w:sz w:val="20"/>
          <w:szCs w:val="20"/>
        </w:rPr>
        <w:t xml:space="preserve">за работещите в щата на общинска администрация, оперативни дежурни при </w:t>
      </w:r>
      <w:proofErr w:type="spellStart"/>
      <w:r w:rsidRPr="0030592B">
        <w:rPr>
          <w:rFonts w:ascii="Verdana" w:hAnsi="Verdana"/>
          <w:sz w:val="20"/>
          <w:szCs w:val="20"/>
        </w:rPr>
        <w:t>ОбСС</w:t>
      </w:r>
      <w:proofErr w:type="spellEnd"/>
      <w:r w:rsidRPr="0030592B">
        <w:rPr>
          <w:rFonts w:ascii="Verdana" w:hAnsi="Verdana"/>
          <w:sz w:val="20"/>
          <w:szCs w:val="20"/>
        </w:rPr>
        <w:t>, училищно здравеопазване към бюджета на Общинска администрация, по предложение на Кмета на общината и съгласно финансовите възможности на бюджета на Община Дряново за съответната година;</w:t>
      </w:r>
    </w:p>
    <w:p w:rsidR="002D5D7F" w:rsidRPr="002D5D7F" w:rsidRDefault="0030592B" w:rsidP="002D5D7F">
      <w:pPr>
        <w:spacing w:after="0" w:line="240" w:lineRule="auto"/>
        <w:jc w:val="both"/>
        <w:rPr>
          <w:rFonts w:ascii="Verdana" w:hAnsi="Verdana"/>
          <w:sz w:val="20"/>
          <w:szCs w:val="20"/>
        </w:rPr>
      </w:pPr>
      <w:r w:rsidRPr="0030592B">
        <w:rPr>
          <w:rFonts w:ascii="Verdana" w:hAnsi="Verdana"/>
          <w:sz w:val="20"/>
          <w:szCs w:val="20"/>
        </w:rPr>
        <w:t>второст</w:t>
      </w:r>
      <w:r w:rsidR="002D5D7F">
        <w:rPr>
          <w:rFonts w:ascii="Verdana" w:hAnsi="Verdana"/>
          <w:sz w:val="20"/>
          <w:szCs w:val="20"/>
        </w:rPr>
        <w:t xml:space="preserve">епенните разпоредители с бюджет </w:t>
      </w:r>
      <w:r w:rsidRPr="0030592B">
        <w:rPr>
          <w:rFonts w:ascii="Verdana" w:hAnsi="Verdana"/>
          <w:sz w:val="20"/>
          <w:szCs w:val="20"/>
        </w:rPr>
        <w:t>/образование,</w:t>
      </w:r>
      <w:r w:rsidR="002D5D7F">
        <w:rPr>
          <w:rFonts w:ascii="Verdana" w:hAnsi="Verdana"/>
          <w:sz w:val="20"/>
          <w:szCs w:val="20"/>
        </w:rPr>
        <w:t xml:space="preserve"> </w:t>
      </w:r>
      <w:r w:rsidRPr="0030592B">
        <w:rPr>
          <w:rFonts w:ascii="Verdana" w:hAnsi="Verdana"/>
          <w:sz w:val="20"/>
          <w:szCs w:val="20"/>
        </w:rPr>
        <w:t>здравеопазване, социални дейности, култура/ и прилагащите системата на делегирани бюджети в рамките на средствата утвърдени с единните разходни</w:t>
      </w:r>
      <w:r w:rsidR="002D5D7F">
        <w:rPr>
          <w:rFonts w:ascii="Verdana" w:hAnsi="Verdana"/>
          <w:sz w:val="20"/>
          <w:szCs w:val="20"/>
        </w:rPr>
        <w:t xml:space="preserve">  </w:t>
      </w:r>
      <w:r w:rsidR="002D5D7F" w:rsidRPr="002D5D7F">
        <w:rPr>
          <w:rFonts w:ascii="Verdana" w:hAnsi="Verdana"/>
          <w:sz w:val="20"/>
          <w:szCs w:val="20"/>
        </w:rPr>
        <w:t>стандарти, по предложение от ръководителя на съответното звено, разчетено в проекта за бюджет.</w:t>
      </w:r>
    </w:p>
    <w:p w:rsidR="002D5D7F" w:rsidRDefault="002D5D7F" w:rsidP="002D5D7F">
      <w:pPr>
        <w:spacing w:after="0" w:line="240" w:lineRule="auto"/>
        <w:jc w:val="both"/>
        <w:rPr>
          <w:rFonts w:ascii="Verdana" w:hAnsi="Verdana"/>
          <w:sz w:val="20"/>
          <w:szCs w:val="20"/>
        </w:rPr>
      </w:pP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w:t>
      </w:r>
      <w:r w:rsidRPr="002D5D7F">
        <w:rPr>
          <w:rFonts w:ascii="Verdana" w:hAnsi="Verdana"/>
          <w:sz w:val="20"/>
          <w:szCs w:val="20"/>
        </w:rPr>
        <w:tab/>
        <w:t>Утвърждава размер за представителни разходи, както следва:</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10.1.</w:t>
      </w:r>
      <w:r w:rsidRPr="002D5D7F">
        <w:rPr>
          <w:rFonts w:ascii="Verdana" w:hAnsi="Verdana"/>
          <w:sz w:val="20"/>
          <w:szCs w:val="20"/>
        </w:rPr>
        <w:tab/>
        <w:t>На кмета на общината в размер на - 5600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10.2.</w:t>
      </w:r>
      <w:r w:rsidRPr="002D5D7F">
        <w:rPr>
          <w:rFonts w:ascii="Verdana" w:hAnsi="Verdana"/>
          <w:sz w:val="20"/>
          <w:szCs w:val="20"/>
        </w:rPr>
        <w:tab/>
        <w:t>На председателя на Общински съвет Дряново - 500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10.3.</w:t>
      </w:r>
      <w:r w:rsidRPr="002D5D7F">
        <w:rPr>
          <w:rFonts w:ascii="Verdana" w:hAnsi="Verdana"/>
          <w:sz w:val="20"/>
          <w:szCs w:val="20"/>
        </w:rPr>
        <w:tab/>
        <w:t>На директора на СУ „М. Райкович" - Дряново - 1800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10.4.</w:t>
      </w:r>
      <w:r w:rsidRPr="002D5D7F">
        <w:rPr>
          <w:rFonts w:ascii="Verdana" w:hAnsi="Verdana"/>
          <w:sz w:val="20"/>
          <w:szCs w:val="20"/>
        </w:rPr>
        <w:tab/>
        <w:t>На директора на ДГ „Детелина"- Дряново - 800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10.5.</w:t>
      </w:r>
      <w:r w:rsidRPr="002D5D7F">
        <w:rPr>
          <w:rFonts w:ascii="Verdana" w:hAnsi="Verdana"/>
          <w:sz w:val="20"/>
          <w:szCs w:val="20"/>
        </w:rPr>
        <w:tab/>
        <w:t>На Директора на Комплекс СУВХ - Дряново - 300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10.6.</w:t>
      </w:r>
      <w:r w:rsidRPr="002D5D7F">
        <w:rPr>
          <w:rFonts w:ascii="Verdana" w:hAnsi="Verdana"/>
          <w:sz w:val="20"/>
          <w:szCs w:val="20"/>
        </w:rPr>
        <w:tab/>
        <w:t>На директора на Детска ясла - Дряново - 300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10.7.</w:t>
      </w:r>
      <w:r w:rsidRPr="002D5D7F">
        <w:rPr>
          <w:rFonts w:ascii="Verdana" w:hAnsi="Verdana"/>
          <w:sz w:val="20"/>
          <w:szCs w:val="20"/>
        </w:rPr>
        <w:tab/>
        <w:t>На директора на Исторически музей Дряново - 900 лв.</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11.</w:t>
      </w:r>
      <w:r w:rsidRPr="002D5D7F">
        <w:rPr>
          <w:rFonts w:ascii="Verdana" w:hAnsi="Verdana"/>
          <w:sz w:val="20"/>
          <w:szCs w:val="20"/>
        </w:rPr>
        <w:tab/>
        <w:t>Съгласно Закона за предучилищното и училищното образование и Наредба №1 от 16 януари 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 на педагогическия персонал във функция „Образование" ще се възстановяват част от извършените от тях разходи за транспорт от местоживеенето им до местоработата им в друго населено място и обратно.</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12.</w:t>
      </w:r>
      <w:r w:rsidRPr="002D5D7F">
        <w:rPr>
          <w:rFonts w:ascii="Verdana" w:hAnsi="Verdana"/>
          <w:sz w:val="20"/>
          <w:szCs w:val="20"/>
        </w:rPr>
        <w:tab/>
        <w:t>Утвърждава възстановяване на извършените разходи за транспорт на служители на общинска администрация, на следните длъжности:</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12.1.</w:t>
      </w:r>
      <w:r w:rsidRPr="002D5D7F">
        <w:rPr>
          <w:rFonts w:ascii="Verdana" w:hAnsi="Verdana"/>
          <w:sz w:val="20"/>
          <w:szCs w:val="20"/>
        </w:rPr>
        <w:tab/>
        <w:t>На кметове и кметски наместници при пътуване с лично МПС - 100 % от изразходените за транспорт средства на месец за пътуване от кметството, където е назначен до общинска администрация и в района, който обслужва съгласно решението на ОбС Дряново. Признаването на разходите и изплащането става срещу представен пътен лист и фактура за изразходеното гориво. При пътуване с обществен транспорт се представят билети и карти.</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12.2.</w:t>
      </w:r>
      <w:r w:rsidRPr="002D5D7F">
        <w:rPr>
          <w:rFonts w:ascii="Verdana" w:hAnsi="Verdana"/>
          <w:sz w:val="20"/>
          <w:szCs w:val="20"/>
        </w:rPr>
        <w:tab/>
        <w:t>На персонала, зает в Защитено жилище с. Гостилица чрез закупуване на карти за транспорт.</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12.2 На други служители.</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13.</w:t>
      </w:r>
      <w:r w:rsidRPr="002D5D7F">
        <w:rPr>
          <w:rFonts w:ascii="Verdana" w:hAnsi="Verdana"/>
          <w:sz w:val="20"/>
          <w:szCs w:val="20"/>
        </w:rPr>
        <w:tab/>
        <w:t>Упълномощава кмета на общината да утвърди списък на лицата по т. 12, т. 12.1 и 12.2 - Приложение №4.</w:t>
      </w:r>
    </w:p>
    <w:p w:rsidR="002D5D7F" w:rsidRPr="002D5D7F" w:rsidRDefault="002D5D7F" w:rsidP="002D5D7F">
      <w:pPr>
        <w:spacing w:after="0" w:line="240" w:lineRule="auto"/>
        <w:jc w:val="both"/>
        <w:rPr>
          <w:rFonts w:ascii="Verdana" w:hAnsi="Verdana"/>
          <w:sz w:val="20"/>
          <w:szCs w:val="20"/>
        </w:rPr>
      </w:pPr>
      <w:r w:rsidRPr="002D5D7F">
        <w:rPr>
          <w:rFonts w:ascii="Verdana" w:hAnsi="Verdana"/>
          <w:sz w:val="20"/>
          <w:szCs w:val="20"/>
        </w:rPr>
        <w:t>14.</w:t>
      </w:r>
      <w:r w:rsidRPr="002D5D7F">
        <w:rPr>
          <w:rFonts w:ascii="Verdana" w:hAnsi="Verdana"/>
          <w:sz w:val="20"/>
          <w:szCs w:val="20"/>
        </w:rPr>
        <w:tab/>
        <w:t>Утвърждава разходи по Културния календар за 2024 год. в размер на 119 000 лв. и по Програмата за развитие на туризма в размер на 19 000 лв.</w:t>
      </w:r>
    </w:p>
    <w:p w:rsidR="002D5D7F" w:rsidRDefault="002D5D7F" w:rsidP="002D5D7F">
      <w:pPr>
        <w:spacing w:after="0" w:line="240" w:lineRule="auto"/>
        <w:jc w:val="both"/>
        <w:rPr>
          <w:rFonts w:ascii="Verdana" w:hAnsi="Verdana"/>
          <w:sz w:val="20"/>
          <w:szCs w:val="20"/>
        </w:rPr>
      </w:pPr>
      <w:r w:rsidRPr="002D5D7F">
        <w:rPr>
          <w:rFonts w:ascii="Verdana" w:hAnsi="Verdana"/>
          <w:sz w:val="20"/>
          <w:szCs w:val="20"/>
        </w:rPr>
        <w:t>15.</w:t>
      </w:r>
      <w:r w:rsidRPr="002D5D7F">
        <w:rPr>
          <w:rFonts w:ascii="Verdana" w:hAnsi="Verdana"/>
          <w:sz w:val="20"/>
          <w:szCs w:val="20"/>
        </w:rPr>
        <w:tab/>
        <w:t>Определя числеността на персонала и разходите за работни заплати на делегираните от държавата дейности във функции „Общинска администрация", „Отбрана и сигурност", „Здравеопазване", „Социално осигуряване, подпомагане и грижи", „Почивно дело, култура и религиозни дейности" (без читалища), считано от 01.01.2024 год. (съгл. Приложение № 5).</w:t>
      </w: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 xml:space="preserve">За нещатния персонал по ПМС № 66/1996 г. определя индивидуални основни заплати в размер на 933 </w:t>
      </w:r>
      <w:r>
        <w:rPr>
          <w:rFonts w:ascii="Verdana" w:hAnsi="Verdana"/>
          <w:sz w:val="20"/>
          <w:szCs w:val="20"/>
        </w:rPr>
        <w:t>лв., считано от 01.01.2024 год.</w:t>
      </w:r>
    </w:p>
    <w:p w:rsidR="0035494F" w:rsidRPr="0035494F" w:rsidRDefault="0035494F" w:rsidP="0035494F">
      <w:pPr>
        <w:spacing w:after="0" w:line="240" w:lineRule="auto"/>
        <w:jc w:val="both"/>
        <w:rPr>
          <w:rFonts w:ascii="Verdana" w:hAnsi="Verdana"/>
          <w:sz w:val="20"/>
          <w:szCs w:val="20"/>
        </w:rPr>
      </w:pPr>
    </w:p>
    <w:p w:rsidR="0035494F" w:rsidRPr="0035494F" w:rsidRDefault="0035494F" w:rsidP="0035494F">
      <w:pPr>
        <w:spacing w:after="0" w:line="240" w:lineRule="auto"/>
        <w:jc w:val="both"/>
        <w:rPr>
          <w:rFonts w:ascii="Verdana" w:hAnsi="Verdana"/>
          <w:sz w:val="20"/>
          <w:szCs w:val="20"/>
        </w:rPr>
      </w:pPr>
      <w:r w:rsidRPr="0035494F">
        <w:rPr>
          <w:rFonts w:ascii="Verdana" w:hAnsi="Verdana"/>
          <w:sz w:val="20"/>
          <w:szCs w:val="20"/>
        </w:rPr>
        <w:t>Задължава кмета на общината да утвърди длъжностни и поименни щатни разписания.</w:t>
      </w: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16.</w:t>
      </w:r>
      <w:r w:rsidRPr="0035494F">
        <w:rPr>
          <w:rFonts w:ascii="Verdana" w:hAnsi="Verdana"/>
          <w:sz w:val="20"/>
          <w:szCs w:val="20"/>
        </w:rPr>
        <w:tab/>
        <w:t>Утвърждава числеността на персонала и средства за работна заплата в местните дейности (съгл. Приложение №6).</w:t>
      </w:r>
    </w:p>
    <w:p w:rsidR="0035494F" w:rsidRPr="0035494F" w:rsidRDefault="0035494F" w:rsidP="0035494F">
      <w:pPr>
        <w:spacing w:after="0" w:line="240" w:lineRule="auto"/>
        <w:jc w:val="both"/>
        <w:rPr>
          <w:rFonts w:ascii="Verdana" w:hAnsi="Verdana"/>
          <w:sz w:val="20"/>
          <w:szCs w:val="20"/>
        </w:rPr>
      </w:pP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17.</w:t>
      </w:r>
      <w:r w:rsidRPr="0035494F">
        <w:rPr>
          <w:rFonts w:ascii="Verdana" w:hAnsi="Verdana"/>
          <w:sz w:val="20"/>
          <w:szCs w:val="20"/>
        </w:rPr>
        <w:tab/>
        <w:t xml:space="preserve">Общинския съвет дава право на кмета на общината при реализирани икономии от фонд „Работна заплата" по тримесечия и в края на годината, спазвайки указанията на Наредбата за работната заплата в бюджетните организации и Вътрешните правила за работната заплата средствата да бъдат предоставени на персонала като </w:t>
      </w:r>
      <w:r w:rsidRPr="0035494F">
        <w:rPr>
          <w:rFonts w:ascii="Verdana" w:hAnsi="Verdana"/>
          <w:sz w:val="20"/>
          <w:szCs w:val="20"/>
        </w:rPr>
        <w:lastRenderedPageBreak/>
        <w:t>допълнително възнаграждение за постигнати резултати и по преценка на ръководството на Общината. Списък на разпоредителите с бюджет в Община Дряново съгл. Приложение №7.</w:t>
      </w:r>
    </w:p>
    <w:p w:rsidR="0035494F" w:rsidRPr="0035494F" w:rsidRDefault="0035494F" w:rsidP="0035494F">
      <w:pPr>
        <w:spacing w:after="0" w:line="240" w:lineRule="auto"/>
        <w:jc w:val="both"/>
        <w:rPr>
          <w:rFonts w:ascii="Verdana" w:hAnsi="Verdana"/>
          <w:sz w:val="20"/>
          <w:szCs w:val="20"/>
        </w:rPr>
      </w:pP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18.</w:t>
      </w:r>
      <w:r w:rsidRPr="0035494F">
        <w:rPr>
          <w:rFonts w:ascii="Verdana" w:hAnsi="Verdana"/>
          <w:sz w:val="20"/>
          <w:szCs w:val="20"/>
        </w:rPr>
        <w:tab/>
        <w:t>На основание чл. 8, ал. 1 и 3 от Наредбата за определянето и администрирането на местните такси и цени на услугите на територията на Община Дряново определя размер на таксата за битови отпадъци за 2024 год. за Общинска администрация и второстепенните разпоредители с бюджет в размер приложимия промил за съответното населено място, приет с Решение №35 по Протокол №4 от 29.12.2023 г. /на база по-високата от данъчната оценка и отчетната стойност на имотите/.</w:t>
      </w:r>
    </w:p>
    <w:p w:rsidR="0035494F" w:rsidRPr="0035494F" w:rsidRDefault="0035494F" w:rsidP="0035494F">
      <w:pPr>
        <w:spacing w:after="0" w:line="240" w:lineRule="auto"/>
        <w:jc w:val="both"/>
        <w:rPr>
          <w:rFonts w:ascii="Verdana" w:hAnsi="Verdana"/>
          <w:sz w:val="20"/>
          <w:szCs w:val="20"/>
        </w:rPr>
      </w:pPr>
    </w:p>
    <w:p w:rsidR="0035494F" w:rsidRPr="0035494F" w:rsidRDefault="0035494F" w:rsidP="0035494F">
      <w:pPr>
        <w:spacing w:after="0" w:line="240" w:lineRule="auto"/>
        <w:jc w:val="both"/>
        <w:rPr>
          <w:rFonts w:ascii="Verdana" w:hAnsi="Verdana"/>
          <w:sz w:val="20"/>
          <w:szCs w:val="20"/>
        </w:rPr>
      </w:pPr>
      <w:r w:rsidRPr="0035494F">
        <w:rPr>
          <w:rFonts w:ascii="Verdana" w:hAnsi="Verdana"/>
          <w:sz w:val="20"/>
          <w:szCs w:val="20"/>
        </w:rPr>
        <w:t>19.</w:t>
      </w:r>
      <w:r w:rsidRPr="0035494F">
        <w:rPr>
          <w:rFonts w:ascii="Verdana" w:hAnsi="Verdana"/>
          <w:sz w:val="20"/>
          <w:szCs w:val="20"/>
        </w:rPr>
        <w:tab/>
        <w:t>За осигуряване изпълнението на бюджета:</w:t>
      </w: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19.1.</w:t>
      </w:r>
      <w:r w:rsidRPr="0035494F">
        <w:rPr>
          <w:rFonts w:ascii="Verdana" w:hAnsi="Verdana"/>
          <w:sz w:val="20"/>
          <w:szCs w:val="20"/>
        </w:rPr>
        <w:tab/>
        <w:t>Определя размер на просрочени вземания, които да бъдат събрани през 2024 год. 426 227 лв.</w:t>
      </w:r>
    </w:p>
    <w:p w:rsidR="0035494F" w:rsidRPr="0035494F" w:rsidRDefault="0035494F" w:rsidP="0035494F">
      <w:pPr>
        <w:spacing w:after="0" w:line="240" w:lineRule="auto"/>
        <w:jc w:val="both"/>
        <w:rPr>
          <w:rFonts w:ascii="Verdana" w:hAnsi="Verdana"/>
          <w:sz w:val="20"/>
          <w:szCs w:val="20"/>
        </w:rPr>
      </w:pPr>
    </w:p>
    <w:p w:rsidR="0035494F" w:rsidRPr="0035494F" w:rsidRDefault="0035494F" w:rsidP="0035494F">
      <w:pPr>
        <w:spacing w:after="0" w:line="240" w:lineRule="auto"/>
        <w:jc w:val="both"/>
        <w:rPr>
          <w:rFonts w:ascii="Verdana" w:hAnsi="Verdana"/>
          <w:sz w:val="20"/>
          <w:szCs w:val="20"/>
        </w:rPr>
      </w:pPr>
      <w:r w:rsidRPr="0035494F">
        <w:rPr>
          <w:rFonts w:ascii="Verdana" w:hAnsi="Verdana"/>
          <w:sz w:val="20"/>
          <w:szCs w:val="20"/>
        </w:rPr>
        <w:t>20.</w:t>
      </w:r>
      <w:r w:rsidRPr="0035494F">
        <w:rPr>
          <w:rFonts w:ascii="Verdana" w:hAnsi="Verdana"/>
          <w:sz w:val="20"/>
          <w:szCs w:val="20"/>
        </w:rPr>
        <w:tab/>
        <w:t>Определя размер на дълга, както следва:</w:t>
      </w: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20.1.</w:t>
      </w:r>
      <w:r w:rsidRPr="0035494F">
        <w:rPr>
          <w:rFonts w:ascii="Verdana" w:hAnsi="Verdana"/>
          <w:sz w:val="20"/>
          <w:szCs w:val="20"/>
        </w:rPr>
        <w:tab/>
        <w:t>Към края на 2023 год. Община Дряново има разкрита кредитна линия в размер на 300 000 лв. от Общинска банка АД, като от нея са усвоени към днешна дата 300 000 лв.</w:t>
      </w:r>
    </w:p>
    <w:p w:rsidR="0035494F" w:rsidRPr="0035494F" w:rsidRDefault="0035494F" w:rsidP="0035494F">
      <w:pPr>
        <w:spacing w:after="0" w:line="240" w:lineRule="auto"/>
        <w:jc w:val="both"/>
        <w:rPr>
          <w:rFonts w:ascii="Verdana" w:hAnsi="Verdana"/>
          <w:sz w:val="20"/>
          <w:szCs w:val="20"/>
        </w:rPr>
      </w:pP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21.</w:t>
      </w:r>
      <w:r w:rsidRPr="0035494F">
        <w:rPr>
          <w:rFonts w:ascii="Verdana" w:hAnsi="Verdana"/>
          <w:sz w:val="20"/>
          <w:szCs w:val="20"/>
        </w:rPr>
        <w:tab/>
        <w:t>Максималният размер на новите задължения за разходи, които могат да бъдат натрупани през 2024 г. е 11 060 970 лв. и отговаря на ограниченията на чл. 94, ал. 3, т. 1 от ЗПФ.</w:t>
      </w:r>
    </w:p>
    <w:p w:rsidR="0035494F" w:rsidRPr="0035494F" w:rsidRDefault="0035494F" w:rsidP="0035494F">
      <w:pPr>
        <w:spacing w:after="0" w:line="240" w:lineRule="auto"/>
        <w:jc w:val="both"/>
        <w:rPr>
          <w:rFonts w:ascii="Verdana" w:hAnsi="Verdana"/>
          <w:sz w:val="20"/>
          <w:szCs w:val="20"/>
        </w:rPr>
      </w:pPr>
    </w:p>
    <w:p w:rsidR="0035494F" w:rsidRDefault="0035494F" w:rsidP="0035494F">
      <w:pPr>
        <w:spacing w:after="0" w:line="240" w:lineRule="auto"/>
        <w:jc w:val="both"/>
        <w:rPr>
          <w:rFonts w:ascii="Verdana" w:hAnsi="Verdana"/>
          <w:sz w:val="20"/>
          <w:szCs w:val="20"/>
        </w:rPr>
      </w:pPr>
      <w:r w:rsidRPr="0035494F">
        <w:rPr>
          <w:rFonts w:ascii="Verdana" w:hAnsi="Verdana"/>
          <w:sz w:val="20"/>
          <w:szCs w:val="20"/>
        </w:rPr>
        <w:t>22.</w:t>
      </w:r>
      <w:r w:rsidRPr="0035494F">
        <w:rPr>
          <w:rFonts w:ascii="Verdana" w:hAnsi="Verdana"/>
          <w:sz w:val="20"/>
          <w:szCs w:val="20"/>
        </w:rPr>
        <w:tab/>
        <w:t>Максималният размер на ангажиментите за разходи, които могат да бъдат поети през 2024 г. е 14 427 353 лв. и отговаря на ограниченията на чл. 94, ал. 3, т. 2 от ЗПФ.</w:t>
      </w:r>
    </w:p>
    <w:p w:rsidR="0035494F" w:rsidRPr="0035494F" w:rsidRDefault="0035494F" w:rsidP="0035494F">
      <w:pPr>
        <w:spacing w:after="0" w:line="240" w:lineRule="auto"/>
        <w:jc w:val="both"/>
        <w:rPr>
          <w:rFonts w:ascii="Verdana" w:hAnsi="Verdana"/>
          <w:sz w:val="20"/>
          <w:szCs w:val="20"/>
        </w:rPr>
      </w:pPr>
    </w:p>
    <w:p w:rsidR="0035494F" w:rsidRPr="0035494F" w:rsidRDefault="0035494F" w:rsidP="0035494F">
      <w:pPr>
        <w:spacing w:after="0" w:line="240" w:lineRule="auto"/>
        <w:jc w:val="both"/>
        <w:rPr>
          <w:rFonts w:ascii="Verdana" w:hAnsi="Verdana"/>
          <w:sz w:val="20"/>
          <w:szCs w:val="20"/>
        </w:rPr>
      </w:pPr>
      <w:r w:rsidRPr="0035494F">
        <w:rPr>
          <w:rFonts w:ascii="Verdana" w:hAnsi="Verdana"/>
          <w:sz w:val="20"/>
          <w:szCs w:val="20"/>
        </w:rPr>
        <w:t>23.</w:t>
      </w:r>
      <w:r w:rsidRPr="0035494F">
        <w:rPr>
          <w:rFonts w:ascii="Verdana" w:hAnsi="Verdana"/>
          <w:sz w:val="20"/>
          <w:szCs w:val="20"/>
        </w:rPr>
        <w:tab/>
        <w:t>Оправомощава кмета на общината да извършва компенсирани промени: 23.1. В частта на делегираните от държавата дейности - между утвърдените</w:t>
      </w:r>
      <w:r w:rsidR="00307E83">
        <w:rPr>
          <w:rFonts w:ascii="Verdana" w:hAnsi="Verdana"/>
          <w:sz w:val="20"/>
          <w:szCs w:val="20"/>
        </w:rPr>
        <w:t xml:space="preserve"> </w:t>
      </w:r>
      <w:r w:rsidRPr="0035494F">
        <w:rPr>
          <w:rFonts w:ascii="Verdana" w:hAnsi="Verdana"/>
          <w:sz w:val="20"/>
          <w:szCs w:val="20"/>
        </w:rPr>
        <w:t>показатели за разходи в рамките на една дейност, с изключение на дейностите на делегиран бюджет, при условие, че не се нарушават стандартите за делегираните от</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държавата дейности и няма просрочени задължения в съответната делегирана дейност, съгл. чл. 125, ал.1 от ЗПФ.</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23.2.</w:t>
      </w:r>
      <w:r w:rsidRPr="00307E83">
        <w:rPr>
          <w:rFonts w:ascii="Verdana" w:hAnsi="Verdana"/>
          <w:sz w:val="20"/>
          <w:szCs w:val="20"/>
        </w:rPr>
        <w:tab/>
        <w:t>В частта за местни дейности - между утвърдените разходи в рамките на една дейност или от една дейност в друга дейност без да изменя общия размер на разходите, съгл. чл. 125, ал. 2 от ЗПФ.</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23.3.</w:t>
      </w:r>
      <w:r w:rsidRPr="00307E83">
        <w:rPr>
          <w:rFonts w:ascii="Verdana" w:hAnsi="Verdana"/>
          <w:sz w:val="20"/>
          <w:szCs w:val="20"/>
        </w:rPr>
        <w:tab/>
        <w:t>Да извършва промени по бюджетите на второстепенните разпоредители с бюджет във връзка с промените по т. 23.</w:t>
      </w:r>
    </w:p>
    <w:p w:rsidR="00307E83" w:rsidRDefault="00307E83" w:rsidP="00307E83">
      <w:pPr>
        <w:spacing w:after="0" w:line="240" w:lineRule="auto"/>
        <w:jc w:val="both"/>
        <w:rPr>
          <w:rFonts w:ascii="Verdana" w:hAnsi="Verdana"/>
          <w:sz w:val="20"/>
          <w:szCs w:val="20"/>
        </w:rPr>
      </w:pPr>
      <w:r w:rsidRPr="00307E83">
        <w:rPr>
          <w:rFonts w:ascii="Verdana" w:hAnsi="Verdana"/>
          <w:sz w:val="20"/>
          <w:szCs w:val="20"/>
        </w:rPr>
        <w:t>23.4.</w:t>
      </w:r>
      <w:r w:rsidRPr="00307E83">
        <w:rPr>
          <w:rFonts w:ascii="Verdana" w:hAnsi="Verdana"/>
          <w:sz w:val="20"/>
          <w:szCs w:val="20"/>
        </w:rPr>
        <w:tab/>
        <w:t>Да отразява служебно промените по общинския бюджет с размера на постъпилите субсидии и трансфери от министерства и ведомства, средствата от дарения и спонсорства, в съответствие с волята на дарителя и средства от Европейския съюз.</w:t>
      </w:r>
    </w:p>
    <w:p w:rsidR="00307E83" w:rsidRPr="00307E83" w:rsidRDefault="00307E83" w:rsidP="00307E83">
      <w:pPr>
        <w:spacing w:after="0" w:line="240" w:lineRule="auto"/>
        <w:jc w:val="both"/>
        <w:rPr>
          <w:rFonts w:ascii="Verdana" w:hAnsi="Verdana"/>
          <w:sz w:val="20"/>
          <w:szCs w:val="20"/>
        </w:rPr>
      </w:pP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24.</w:t>
      </w:r>
      <w:r w:rsidRPr="00307E83">
        <w:rPr>
          <w:rFonts w:ascii="Verdana" w:hAnsi="Verdana"/>
          <w:sz w:val="20"/>
          <w:szCs w:val="20"/>
        </w:rPr>
        <w:tab/>
        <w:t>Възлага на кмета:</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24.1.</w:t>
      </w:r>
      <w:r w:rsidRPr="00307E83">
        <w:rPr>
          <w:rFonts w:ascii="Verdana" w:hAnsi="Verdana"/>
          <w:sz w:val="20"/>
          <w:szCs w:val="20"/>
        </w:rPr>
        <w:tab/>
        <w:t>Да утвърди бюджетите на второстепенните разпоредители с бюджет.</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24.2.</w:t>
      </w:r>
      <w:r w:rsidRPr="00307E83">
        <w:rPr>
          <w:rFonts w:ascii="Verdana" w:hAnsi="Verdana"/>
          <w:sz w:val="20"/>
          <w:szCs w:val="20"/>
        </w:rPr>
        <w:tab/>
        <w:t>Да организира разпределението на бюджета по тримесечия и да утвърди разпределението му и извършва текущо наблюдение върху изпълнението му.</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24.3.</w:t>
      </w:r>
      <w:r w:rsidRPr="00307E83">
        <w:rPr>
          <w:rFonts w:ascii="Verdana" w:hAnsi="Verdana"/>
          <w:sz w:val="20"/>
          <w:szCs w:val="20"/>
        </w:rPr>
        <w:tab/>
        <w:t>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намаляване на бюджетните разходи.</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24.4.</w:t>
      </w:r>
      <w:r w:rsidRPr="00307E83">
        <w:rPr>
          <w:rFonts w:ascii="Verdana" w:hAnsi="Verdana"/>
          <w:sz w:val="20"/>
          <w:szCs w:val="20"/>
        </w:rPr>
        <w:tab/>
        <w:t>Да включва информация по чл. 125, ал. 4 от ЗПФ в тримесечните отчети и обяснителните записки към тях.</w:t>
      </w:r>
    </w:p>
    <w:p w:rsidR="00307E83" w:rsidRDefault="00307E83" w:rsidP="00307E83">
      <w:pPr>
        <w:spacing w:after="0" w:line="240" w:lineRule="auto"/>
        <w:jc w:val="both"/>
        <w:rPr>
          <w:rFonts w:ascii="Verdana" w:hAnsi="Verdana"/>
          <w:sz w:val="20"/>
          <w:szCs w:val="20"/>
        </w:rPr>
      </w:pPr>
      <w:r w:rsidRPr="00307E83">
        <w:rPr>
          <w:rFonts w:ascii="Verdana" w:hAnsi="Verdana"/>
          <w:sz w:val="20"/>
          <w:szCs w:val="20"/>
        </w:rPr>
        <w:t>24.5.</w:t>
      </w:r>
      <w:r w:rsidRPr="00307E83">
        <w:rPr>
          <w:rFonts w:ascii="Verdana" w:hAnsi="Verdana"/>
          <w:sz w:val="20"/>
          <w:szCs w:val="20"/>
        </w:rPr>
        <w:tab/>
        <w:t>Да разработи детайлен разчет на сметките за средства от ЕС по отделни общински проекти в съответствие с изискванията на съответния Управляващ орган и на МФ.</w:t>
      </w:r>
    </w:p>
    <w:p w:rsidR="00307E83" w:rsidRPr="00307E83" w:rsidRDefault="00307E83" w:rsidP="00307E83">
      <w:pPr>
        <w:spacing w:after="0" w:line="240" w:lineRule="auto"/>
        <w:jc w:val="both"/>
        <w:rPr>
          <w:rFonts w:ascii="Verdana" w:hAnsi="Verdana"/>
          <w:sz w:val="20"/>
          <w:szCs w:val="20"/>
        </w:rPr>
      </w:pP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lastRenderedPageBreak/>
        <w:t>25.</w:t>
      </w:r>
      <w:r w:rsidRPr="00307E83">
        <w:rPr>
          <w:rFonts w:ascii="Verdana" w:hAnsi="Verdana"/>
          <w:sz w:val="20"/>
          <w:szCs w:val="20"/>
        </w:rPr>
        <w:tab/>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ЕС и по други международни програми, вкл. и на бюджетни организации, чийто бюджет е част от общинския бюджет.</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25.1.</w:t>
      </w:r>
      <w:r w:rsidRPr="00307E83">
        <w:rPr>
          <w:rFonts w:ascii="Verdana" w:hAnsi="Verdana"/>
          <w:sz w:val="20"/>
          <w:szCs w:val="20"/>
        </w:rPr>
        <w:tab/>
        <w:t>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по-късно от края на 2024 год.</w:t>
      </w:r>
    </w:p>
    <w:p w:rsidR="00307E83" w:rsidRPr="00307E83" w:rsidRDefault="00307E83" w:rsidP="00307E83">
      <w:pPr>
        <w:spacing w:after="0" w:line="240" w:lineRule="auto"/>
        <w:jc w:val="both"/>
        <w:rPr>
          <w:rFonts w:ascii="Verdana" w:hAnsi="Verdana"/>
          <w:sz w:val="20"/>
          <w:szCs w:val="20"/>
        </w:rPr>
      </w:pPr>
      <w:r w:rsidRPr="00307E83">
        <w:rPr>
          <w:rFonts w:ascii="Verdana" w:hAnsi="Verdana"/>
          <w:sz w:val="20"/>
          <w:szCs w:val="20"/>
        </w:rPr>
        <w:t>25.2.</w:t>
      </w:r>
      <w:r w:rsidRPr="00307E83">
        <w:rPr>
          <w:rFonts w:ascii="Verdana" w:hAnsi="Verdana"/>
          <w:sz w:val="20"/>
          <w:szCs w:val="20"/>
        </w:rPr>
        <w:tab/>
        <w:t>При предоставянето на временните безлихвени заеми от временно свободни средства по общинския бюджет да се спазват изискванията на чл. 126 от ЗПФ.</w:t>
      </w:r>
    </w:p>
    <w:p w:rsidR="00FC4313" w:rsidRPr="00FC4313" w:rsidRDefault="00307E83" w:rsidP="00FC4313">
      <w:pPr>
        <w:spacing w:after="0" w:line="240" w:lineRule="auto"/>
        <w:jc w:val="both"/>
        <w:rPr>
          <w:rFonts w:ascii="Verdana" w:hAnsi="Verdana"/>
          <w:sz w:val="20"/>
          <w:szCs w:val="20"/>
        </w:rPr>
      </w:pPr>
      <w:r w:rsidRPr="00307E83">
        <w:rPr>
          <w:rFonts w:ascii="Verdana" w:hAnsi="Verdana"/>
          <w:sz w:val="20"/>
          <w:szCs w:val="20"/>
        </w:rPr>
        <w:t>25.3.</w:t>
      </w:r>
      <w:r w:rsidRPr="00307E83">
        <w:rPr>
          <w:rFonts w:ascii="Verdana" w:hAnsi="Verdana"/>
          <w:sz w:val="20"/>
          <w:szCs w:val="20"/>
        </w:rPr>
        <w:tab/>
        <w:t>При предоставянето на средства от сметките за средства от ЕС да се</w:t>
      </w:r>
      <w:r w:rsidR="00FC4313">
        <w:rPr>
          <w:rFonts w:ascii="Verdana" w:hAnsi="Verdana"/>
          <w:sz w:val="20"/>
          <w:szCs w:val="20"/>
        </w:rPr>
        <w:t xml:space="preserve"> </w:t>
      </w:r>
      <w:r w:rsidR="00FC4313" w:rsidRPr="00FC4313">
        <w:rPr>
          <w:rFonts w:ascii="Verdana" w:hAnsi="Verdana"/>
          <w:sz w:val="20"/>
          <w:szCs w:val="20"/>
        </w:rPr>
        <w:t>спазват изискванията на чл. 104, ал. 1, т.4 от ЗПФ.</w:t>
      </w:r>
    </w:p>
    <w:p w:rsidR="00FC4313" w:rsidRDefault="00FC4313" w:rsidP="00FC4313">
      <w:pPr>
        <w:spacing w:after="0" w:line="240" w:lineRule="auto"/>
        <w:jc w:val="both"/>
        <w:rPr>
          <w:rFonts w:ascii="Verdana" w:hAnsi="Verdana"/>
          <w:sz w:val="20"/>
          <w:szCs w:val="20"/>
        </w:rPr>
      </w:pPr>
      <w:r w:rsidRPr="00FC4313">
        <w:rPr>
          <w:rFonts w:ascii="Verdana" w:hAnsi="Verdana"/>
          <w:sz w:val="20"/>
          <w:szCs w:val="20"/>
        </w:rPr>
        <w:t>25.4.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FC4313" w:rsidRPr="00FC4313" w:rsidRDefault="00FC4313" w:rsidP="00FC4313">
      <w:pPr>
        <w:spacing w:after="0" w:line="240" w:lineRule="auto"/>
        <w:jc w:val="both"/>
        <w:rPr>
          <w:rFonts w:ascii="Verdana" w:hAnsi="Verdana"/>
          <w:sz w:val="20"/>
          <w:szCs w:val="20"/>
        </w:rPr>
      </w:pP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26.</w:t>
      </w:r>
      <w:r w:rsidRPr="00FC4313">
        <w:rPr>
          <w:rFonts w:ascii="Verdana" w:hAnsi="Verdana"/>
          <w:sz w:val="20"/>
          <w:szCs w:val="20"/>
        </w:rPr>
        <w:tab/>
        <w:t>Упълномощава кмета:</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26.1. Да разработва и възлага подготовката на общински програми и проекти и да кандидатства за финансирането им със средства от структурни и други фондове на ЕС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FC4313" w:rsidRDefault="00FC4313" w:rsidP="00FC4313">
      <w:pPr>
        <w:spacing w:after="0" w:line="240" w:lineRule="auto"/>
        <w:jc w:val="both"/>
        <w:rPr>
          <w:rFonts w:ascii="Verdana" w:hAnsi="Verdana"/>
          <w:sz w:val="20"/>
          <w:szCs w:val="20"/>
        </w:rPr>
      </w:pPr>
      <w:r w:rsidRPr="00FC4313">
        <w:rPr>
          <w:rFonts w:ascii="Verdana" w:hAnsi="Verdana"/>
          <w:sz w:val="20"/>
          <w:szCs w:val="20"/>
        </w:rPr>
        <w:t>26.2. Да кандидатства за средства от централния бюджет и други източници за финансиране и съфинансиране на общински програми и проекти.</w:t>
      </w:r>
    </w:p>
    <w:p w:rsidR="00FC4313" w:rsidRPr="00FC4313" w:rsidRDefault="00FC4313" w:rsidP="00FC4313">
      <w:pPr>
        <w:spacing w:after="0" w:line="240" w:lineRule="auto"/>
        <w:jc w:val="both"/>
        <w:rPr>
          <w:rFonts w:ascii="Verdana" w:hAnsi="Verdana"/>
          <w:sz w:val="20"/>
          <w:szCs w:val="20"/>
        </w:rPr>
      </w:pP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27.</w:t>
      </w:r>
      <w:r w:rsidRPr="00FC4313">
        <w:rPr>
          <w:rFonts w:ascii="Verdana" w:hAnsi="Verdana"/>
          <w:sz w:val="20"/>
          <w:szCs w:val="20"/>
        </w:rPr>
        <w:tab/>
        <w:t>Възлага на кмета на общината:</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27.1.</w:t>
      </w:r>
      <w:r w:rsidRPr="00FC4313">
        <w:rPr>
          <w:rFonts w:ascii="Verdana" w:hAnsi="Verdana"/>
          <w:sz w:val="20"/>
          <w:szCs w:val="20"/>
        </w:rPr>
        <w:tab/>
        <w:t>Да разработи бюджета на общината по пълната Единна бюджетна класификация.</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27.2.</w:t>
      </w:r>
      <w:r w:rsidRPr="00FC4313">
        <w:rPr>
          <w:rFonts w:ascii="Verdana" w:hAnsi="Verdana"/>
          <w:sz w:val="20"/>
          <w:szCs w:val="20"/>
        </w:rPr>
        <w:tab/>
        <w:t>Разходването на бюджетните средства /без целевите средства/ се осъществява при спазването на следните приоритети:</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27.2.1.</w:t>
      </w:r>
      <w:r w:rsidRPr="00FC4313">
        <w:rPr>
          <w:rFonts w:ascii="Verdana" w:hAnsi="Verdana"/>
          <w:sz w:val="20"/>
          <w:szCs w:val="20"/>
        </w:rPr>
        <w:tab/>
        <w:t>Разходите за делегираните от държавата дейности се извършват до размера на предоставените трансфери и се използват по предназначение, като разходите за трудови възнаграждения и стипендии са приоритетни.</w:t>
      </w:r>
    </w:p>
    <w:p w:rsidR="00FC4313" w:rsidRDefault="00FC4313" w:rsidP="00FC4313">
      <w:pPr>
        <w:spacing w:after="0" w:line="240" w:lineRule="auto"/>
        <w:jc w:val="both"/>
        <w:rPr>
          <w:rFonts w:ascii="Verdana" w:hAnsi="Verdana"/>
          <w:sz w:val="20"/>
          <w:szCs w:val="20"/>
        </w:rPr>
      </w:pPr>
      <w:r w:rsidRPr="00FC4313">
        <w:rPr>
          <w:rFonts w:ascii="Verdana" w:hAnsi="Verdana"/>
          <w:sz w:val="20"/>
          <w:szCs w:val="20"/>
        </w:rPr>
        <w:t>27.2.2.</w:t>
      </w:r>
      <w:r w:rsidRPr="00FC4313">
        <w:rPr>
          <w:rFonts w:ascii="Verdana" w:hAnsi="Verdana"/>
          <w:sz w:val="20"/>
          <w:szCs w:val="20"/>
        </w:rPr>
        <w:tab/>
        <w:t>Постъпилите собствени приходи се разходват при следната поредност: за трудови разходи; за покриване на просрочени задължения от минали години за разходи, свързани с дейности за които се събират такси; неотложни сезонни разходи - гориво, ел. енергия, вода, неотложни текущи ремонти и други.</w:t>
      </w:r>
    </w:p>
    <w:p w:rsidR="00FC4313" w:rsidRPr="00FC4313" w:rsidRDefault="00FC4313" w:rsidP="00FC4313">
      <w:pPr>
        <w:spacing w:after="0" w:line="240" w:lineRule="auto"/>
        <w:jc w:val="both"/>
        <w:rPr>
          <w:rFonts w:ascii="Verdana" w:hAnsi="Verdana"/>
          <w:sz w:val="20"/>
          <w:szCs w:val="20"/>
        </w:rPr>
      </w:pPr>
    </w:p>
    <w:p w:rsidR="00FC4313" w:rsidRDefault="00FC4313" w:rsidP="00FC4313">
      <w:pPr>
        <w:spacing w:after="0" w:line="240" w:lineRule="auto"/>
        <w:jc w:val="both"/>
        <w:rPr>
          <w:rFonts w:ascii="Verdana" w:hAnsi="Verdana"/>
          <w:sz w:val="20"/>
          <w:szCs w:val="20"/>
        </w:rPr>
      </w:pPr>
      <w:r w:rsidRPr="00FC4313">
        <w:rPr>
          <w:rFonts w:ascii="Verdana" w:hAnsi="Verdana"/>
          <w:sz w:val="20"/>
          <w:szCs w:val="20"/>
        </w:rPr>
        <w:t>28.</w:t>
      </w:r>
      <w:r w:rsidRPr="00FC4313">
        <w:rPr>
          <w:rFonts w:ascii="Verdana" w:hAnsi="Verdana"/>
          <w:sz w:val="20"/>
          <w:szCs w:val="20"/>
        </w:rPr>
        <w:tab/>
        <w:t>Задължава кмета на общината да ограничава или спира финансиране на бюджетни организации и звена при нарушаване на бюджетната и финансова дисциплина, при неспазване приоритетите по т.27.2 и системно допускане разплащането на непланирани разходи и натрупване на просрочени задължения.</w:t>
      </w:r>
    </w:p>
    <w:p w:rsidR="00FC4313" w:rsidRPr="00FC4313" w:rsidRDefault="00FC4313" w:rsidP="00FC4313">
      <w:pPr>
        <w:spacing w:after="0" w:line="240" w:lineRule="auto"/>
        <w:jc w:val="both"/>
        <w:rPr>
          <w:rFonts w:ascii="Verdana" w:hAnsi="Verdana"/>
          <w:sz w:val="20"/>
          <w:szCs w:val="20"/>
        </w:rPr>
      </w:pP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29.</w:t>
      </w:r>
      <w:r w:rsidRPr="00FC4313">
        <w:rPr>
          <w:rFonts w:ascii="Verdana" w:hAnsi="Verdana"/>
          <w:sz w:val="20"/>
          <w:szCs w:val="20"/>
        </w:rPr>
        <w:tab/>
        <w:t>Задължава ръководителите на бюджетни звена, финансирани от общинския бюджет:</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29.1.</w:t>
      </w:r>
      <w:r w:rsidRPr="00FC4313">
        <w:rPr>
          <w:rFonts w:ascii="Verdana" w:hAnsi="Verdana"/>
          <w:sz w:val="20"/>
          <w:szCs w:val="20"/>
        </w:rPr>
        <w:tab/>
        <w:t>Да прегледат и актуализират при нужда разработените им системи за финансово управление и контрол в срок до 31.12.2024 г. съгласно Закона за финансово управление и контрол в публичния сектор и Закона за публичните финанси.</w:t>
      </w:r>
    </w:p>
    <w:p w:rsidR="00FC4313" w:rsidRPr="00FC4313" w:rsidRDefault="00FC4313" w:rsidP="00FC4313">
      <w:pPr>
        <w:spacing w:after="0" w:line="240" w:lineRule="auto"/>
        <w:jc w:val="both"/>
        <w:rPr>
          <w:rFonts w:ascii="Verdana" w:hAnsi="Verdana"/>
          <w:sz w:val="20"/>
          <w:szCs w:val="20"/>
        </w:rPr>
      </w:pPr>
      <w:r w:rsidRPr="00FC4313">
        <w:rPr>
          <w:rFonts w:ascii="Verdana" w:hAnsi="Verdana"/>
          <w:sz w:val="20"/>
          <w:szCs w:val="20"/>
        </w:rPr>
        <w:t>29.2.</w:t>
      </w:r>
      <w:r w:rsidRPr="00FC4313">
        <w:rPr>
          <w:rFonts w:ascii="Verdana" w:hAnsi="Verdana"/>
          <w:sz w:val="20"/>
          <w:szCs w:val="20"/>
        </w:rPr>
        <w:tab/>
        <w:t>Да изготвят отчет за всички целево получени средства от министерства и ведомства в сроковете дадени от първостепенния разпоредител.</w:t>
      </w:r>
    </w:p>
    <w:p w:rsidR="00EB2540" w:rsidRPr="00EB2540" w:rsidRDefault="00FC4313" w:rsidP="00EB2540">
      <w:pPr>
        <w:spacing w:after="0" w:line="240" w:lineRule="auto"/>
        <w:jc w:val="both"/>
        <w:rPr>
          <w:rFonts w:ascii="Verdana" w:hAnsi="Verdana"/>
          <w:sz w:val="20"/>
          <w:szCs w:val="20"/>
        </w:rPr>
      </w:pPr>
      <w:r w:rsidRPr="00FC4313">
        <w:rPr>
          <w:rFonts w:ascii="Verdana" w:hAnsi="Verdana"/>
          <w:sz w:val="20"/>
          <w:szCs w:val="20"/>
        </w:rPr>
        <w:t>29.3.</w:t>
      </w:r>
      <w:r w:rsidRPr="00FC4313">
        <w:rPr>
          <w:rFonts w:ascii="Verdana" w:hAnsi="Verdana"/>
          <w:sz w:val="20"/>
          <w:szCs w:val="20"/>
        </w:rPr>
        <w:tab/>
        <w:t>Да предприемат действия по опазване на сградите и ежегодно да</w:t>
      </w:r>
      <w:r w:rsidR="00EB2540">
        <w:rPr>
          <w:rFonts w:ascii="Verdana" w:hAnsi="Verdana"/>
          <w:sz w:val="20"/>
          <w:szCs w:val="20"/>
        </w:rPr>
        <w:t xml:space="preserve"> </w:t>
      </w:r>
      <w:r w:rsidR="00EB2540" w:rsidRPr="00EB2540">
        <w:rPr>
          <w:rFonts w:ascii="Verdana" w:hAnsi="Verdana"/>
          <w:sz w:val="20"/>
          <w:szCs w:val="20"/>
        </w:rPr>
        <w:t xml:space="preserve">разчитат средства за тяхната поддръжка и да застраховат имуществото, </w:t>
      </w:r>
      <w:proofErr w:type="spellStart"/>
      <w:r w:rsidR="00EB2540">
        <w:rPr>
          <w:rFonts w:ascii="Verdana" w:hAnsi="Verdana"/>
          <w:sz w:val="20"/>
          <w:szCs w:val="20"/>
          <w:lang w:val="en-US"/>
        </w:rPr>
        <w:t>nри</w:t>
      </w:r>
      <w:proofErr w:type="spellEnd"/>
      <w:r w:rsidR="00EB2540">
        <w:rPr>
          <w:rFonts w:ascii="Verdana" w:hAnsi="Verdana"/>
          <w:sz w:val="20"/>
          <w:szCs w:val="20"/>
          <w:lang w:val="en-US"/>
        </w:rPr>
        <w:t xml:space="preserve"> </w:t>
      </w:r>
      <w:r w:rsidR="00EB2540" w:rsidRPr="00EB2540">
        <w:rPr>
          <w:rFonts w:ascii="Verdana" w:hAnsi="Verdana"/>
          <w:sz w:val="20"/>
          <w:szCs w:val="20"/>
        </w:rPr>
        <w:t>нанесени щети, същите да бъдат отстранявани</w:t>
      </w:r>
      <w:r w:rsidR="00EB2540">
        <w:rPr>
          <w:rFonts w:ascii="Verdana" w:hAnsi="Verdana"/>
          <w:sz w:val="20"/>
          <w:szCs w:val="20"/>
        </w:rPr>
        <w:t xml:space="preserve"> със средства от делегирания</w:t>
      </w:r>
      <w:r w:rsidR="00EB2540" w:rsidRPr="00EB2540">
        <w:rPr>
          <w:rFonts w:ascii="Verdana" w:hAnsi="Verdana"/>
          <w:sz w:val="20"/>
          <w:szCs w:val="20"/>
        </w:rPr>
        <w:t xml:space="preserve"> бюджет.</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Приложения:</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Приложение №1: Списък капиталова програма;</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№2: Индикативен разчет средства ЕС;</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№3: Списък на читалища регистрирани в Община Дряново;</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№4: Списък лица транспортни разходи;</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lastRenderedPageBreak/>
        <w:t>-</w:t>
      </w:r>
      <w:r w:rsidRPr="00EB2540">
        <w:rPr>
          <w:rFonts w:ascii="Verdana" w:hAnsi="Verdana"/>
          <w:sz w:val="20"/>
          <w:szCs w:val="20"/>
        </w:rPr>
        <w:tab/>
        <w:t>Приложение №5: Численост на персонала и разходите за работни заплати в делегираните от държавата дейности;</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№6: Численост на персонала и средства за работни заплати в местни дейности;</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№7: Разчети местни дейности - Общинска администрация Дряново;</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№8: Разчети местни дейности - Община Дряново;</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№9: Разчети държавни дейности - Общинска администрация Дряново;</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№10: Разчети държавни дейности - Община Дряново;</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№11: Преходни остатъци 2023 г.;</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№12: Справка общински дълг;</w:t>
      </w: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w:t>
      </w:r>
      <w:r w:rsidRPr="00EB2540">
        <w:rPr>
          <w:rFonts w:ascii="Verdana" w:hAnsi="Verdana"/>
          <w:sz w:val="20"/>
          <w:szCs w:val="20"/>
        </w:rPr>
        <w:tab/>
        <w:t>Приложение №13: Списък на второстепенни разпоредители с бюджет в Община Дряново.</w:t>
      </w:r>
    </w:p>
    <w:p w:rsidR="00D47CA8" w:rsidRDefault="00D47CA8" w:rsidP="00EB2540">
      <w:pPr>
        <w:spacing w:after="0" w:line="240" w:lineRule="auto"/>
        <w:jc w:val="both"/>
        <w:rPr>
          <w:rFonts w:ascii="Verdana" w:hAnsi="Verdana"/>
          <w:sz w:val="20"/>
          <w:szCs w:val="20"/>
        </w:rPr>
      </w:pPr>
    </w:p>
    <w:p w:rsidR="00EB2540" w:rsidRPr="00EB2540" w:rsidRDefault="00EB2540" w:rsidP="00EB2540">
      <w:pPr>
        <w:spacing w:after="0" w:line="240" w:lineRule="auto"/>
        <w:jc w:val="both"/>
        <w:rPr>
          <w:rFonts w:ascii="Verdana" w:hAnsi="Verdana"/>
          <w:sz w:val="20"/>
          <w:szCs w:val="20"/>
        </w:rPr>
      </w:pPr>
      <w:r w:rsidRPr="00EB2540">
        <w:rPr>
          <w:rFonts w:ascii="Verdana" w:hAnsi="Verdana"/>
          <w:sz w:val="20"/>
          <w:szCs w:val="20"/>
        </w:rPr>
        <w:t>С уважение,</w:t>
      </w:r>
    </w:p>
    <w:p w:rsidR="00EB2540" w:rsidRDefault="00EB2540" w:rsidP="00EB2540">
      <w:pPr>
        <w:spacing w:after="0" w:line="240" w:lineRule="auto"/>
        <w:jc w:val="both"/>
        <w:rPr>
          <w:rFonts w:ascii="Verdana" w:hAnsi="Verdana"/>
          <w:sz w:val="20"/>
          <w:szCs w:val="20"/>
        </w:rPr>
      </w:pPr>
      <w:r w:rsidRPr="00EB2540">
        <w:rPr>
          <w:rFonts w:ascii="Verdana" w:hAnsi="Verdana"/>
          <w:sz w:val="20"/>
          <w:szCs w:val="20"/>
        </w:rPr>
        <w:t>Трифон Панчев</w:t>
      </w:r>
    </w:p>
    <w:p w:rsidR="00EB2540" w:rsidRPr="00EB2540" w:rsidRDefault="00EB2540" w:rsidP="00EB2540">
      <w:pPr>
        <w:spacing w:after="0" w:line="240" w:lineRule="auto"/>
        <w:jc w:val="both"/>
        <w:rPr>
          <w:rFonts w:ascii="Verdana" w:hAnsi="Verdana"/>
          <w:sz w:val="20"/>
          <w:szCs w:val="20"/>
        </w:rPr>
      </w:pPr>
      <w:r>
        <w:rPr>
          <w:rFonts w:ascii="Verdana" w:hAnsi="Verdana"/>
          <w:sz w:val="20"/>
          <w:szCs w:val="20"/>
        </w:rPr>
        <w:t>Кмет на Община Дряново</w:t>
      </w:r>
    </w:p>
    <w:p w:rsidR="00EA7D37" w:rsidRPr="00FC4313" w:rsidRDefault="00EA7D37" w:rsidP="00FC4313">
      <w:pPr>
        <w:spacing w:after="0" w:line="240" w:lineRule="auto"/>
        <w:jc w:val="both"/>
        <w:rPr>
          <w:rFonts w:ascii="Verdana" w:hAnsi="Verdana"/>
          <w:sz w:val="20"/>
          <w:szCs w:val="20"/>
        </w:rPr>
      </w:pPr>
    </w:p>
    <w:p w:rsidR="00420FA5" w:rsidRDefault="00420FA5" w:rsidP="00E164F2">
      <w:pPr>
        <w:spacing w:after="0" w:line="240" w:lineRule="auto"/>
        <w:jc w:val="both"/>
        <w:rPr>
          <w:rFonts w:ascii="Verdana" w:hAnsi="Verdana"/>
          <w:sz w:val="20"/>
          <w:szCs w:val="20"/>
        </w:rPr>
      </w:pPr>
    </w:p>
    <w:p w:rsidR="00420FA5" w:rsidRPr="00F34D7A" w:rsidRDefault="00420FA5" w:rsidP="00E164F2">
      <w:pPr>
        <w:spacing w:after="0" w:line="240" w:lineRule="auto"/>
        <w:jc w:val="both"/>
        <w:rPr>
          <w:rFonts w:ascii="Verdana" w:hAnsi="Verdana"/>
          <w:sz w:val="20"/>
          <w:szCs w:val="20"/>
        </w:rPr>
      </w:pPr>
    </w:p>
    <w:sectPr w:rsidR="00420FA5" w:rsidRPr="00F34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0C"/>
    <w:rsid w:val="00004941"/>
    <w:rsid w:val="0000511D"/>
    <w:rsid w:val="00007A84"/>
    <w:rsid w:val="00011452"/>
    <w:rsid w:val="00021626"/>
    <w:rsid w:val="00022405"/>
    <w:rsid w:val="000250F4"/>
    <w:rsid w:val="00033511"/>
    <w:rsid w:val="000349B1"/>
    <w:rsid w:val="00040975"/>
    <w:rsid w:val="00040D04"/>
    <w:rsid w:val="0004162C"/>
    <w:rsid w:val="00047F19"/>
    <w:rsid w:val="00050C9B"/>
    <w:rsid w:val="000564BF"/>
    <w:rsid w:val="0008288E"/>
    <w:rsid w:val="00085731"/>
    <w:rsid w:val="00085CA9"/>
    <w:rsid w:val="00087661"/>
    <w:rsid w:val="000959FE"/>
    <w:rsid w:val="00096084"/>
    <w:rsid w:val="00096135"/>
    <w:rsid w:val="000B1452"/>
    <w:rsid w:val="000B5A4C"/>
    <w:rsid w:val="000C773F"/>
    <w:rsid w:val="000D0377"/>
    <w:rsid w:val="000D6C37"/>
    <w:rsid w:val="000E116D"/>
    <w:rsid w:val="00102997"/>
    <w:rsid w:val="0011299C"/>
    <w:rsid w:val="00120D26"/>
    <w:rsid w:val="00125575"/>
    <w:rsid w:val="00130C38"/>
    <w:rsid w:val="00130D8C"/>
    <w:rsid w:val="00143566"/>
    <w:rsid w:val="00155C29"/>
    <w:rsid w:val="00161921"/>
    <w:rsid w:val="00177372"/>
    <w:rsid w:val="001845E2"/>
    <w:rsid w:val="00184A15"/>
    <w:rsid w:val="00192346"/>
    <w:rsid w:val="00193485"/>
    <w:rsid w:val="001A285A"/>
    <w:rsid w:val="001A7F38"/>
    <w:rsid w:val="001C076D"/>
    <w:rsid w:val="001C6A62"/>
    <w:rsid w:val="001D14DF"/>
    <w:rsid w:val="001D76EC"/>
    <w:rsid w:val="001E103F"/>
    <w:rsid w:val="001F1A6A"/>
    <w:rsid w:val="001F509F"/>
    <w:rsid w:val="001F5882"/>
    <w:rsid w:val="00201E5C"/>
    <w:rsid w:val="002055D4"/>
    <w:rsid w:val="0021306A"/>
    <w:rsid w:val="00214529"/>
    <w:rsid w:val="002158EC"/>
    <w:rsid w:val="00242366"/>
    <w:rsid w:val="00251D1B"/>
    <w:rsid w:val="00271B1A"/>
    <w:rsid w:val="00274365"/>
    <w:rsid w:val="00274CD8"/>
    <w:rsid w:val="0028332C"/>
    <w:rsid w:val="0028353A"/>
    <w:rsid w:val="00284EF8"/>
    <w:rsid w:val="00284FA8"/>
    <w:rsid w:val="00285465"/>
    <w:rsid w:val="002A3512"/>
    <w:rsid w:val="002C4E34"/>
    <w:rsid w:val="002D5D7F"/>
    <w:rsid w:val="002E0CC3"/>
    <w:rsid w:val="002E3C82"/>
    <w:rsid w:val="002E63D7"/>
    <w:rsid w:val="00300B54"/>
    <w:rsid w:val="0030592B"/>
    <w:rsid w:val="00307E83"/>
    <w:rsid w:val="00310725"/>
    <w:rsid w:val="003108A1"/>
    <w:rsid w:val="00335F1E"/>
    <w:rsid w:val="003366EE"/>
    <w:rsid w:val="00342EBD"/>
    <w:rsid w:val="00344CC2"/>
    <w:rsid w:val="00345DD2"/>
    <w:rsid w:val="003466A7"/>
    <w:rsid w:val="00350452"/>
    <w:rsid w:val="0035494F"/>
    <w:rsid w:val="00355116"/>
    <w:rsid w:val="00356CEB"/>
    <w:rsid w:val="00357E72"/>
    <w:rsid w:val="003617AE"/>
    <w:rsid w:val="00363ECE"/>
    <w:rsid w:val="003645D4"/>
    <w:rsid w:val="00367D55"/>
    <w:rsid w:val="00376CA5"/>
    <w:rsid w:val="00377645"/>
    <w:rsid w:val="00386C87"/>
    <w:rsid w:val="003914C1"/>
    <w:rsid w:val="00393334"/>
    <w:rsid w:val="003948EE"/>
    <w:rsid w:val="00397A86"/>
    <w:rsid w:val="003A1C81"/>
    <w:rsid w:val="003A3F87"/>
    <w:rsid w:val="003B3F0B"/>
    <w:rsid w:val="003C5C1D"/>
    <w:rsid w:val="003C74A7"/>
    <w:rsid w:val="003F0E80"/>
    <w:rsid w:val="003F2FDA"/>
    <w:rsid w:val="00407025"/>
    <w:rsid w:val="004155D8"/>
    <w:rsid w:val="00417C44"/>
    <w:rsid w:val="00420FA5"/>
    <w:rsid w:val="00425761"/>
    <w:rsid w:val="0043103C"/>
    <w:rsid w:val="00444267"/>
    <w:rsid w:val="00447459"/>
    <w:rsid w:val="00456CC4"/>
    <w:rsid w:val="004768EC"/>
    <w:rsid w:val="00490A05"/>
    <w:rsid w:val="004910C5"/>
    <w:rsid w:val="00491180"/>
    <w:rsid w:val="004971EE"/>
    <w:rsid w:val="004A2572"/>
    <w:rsid w:val="004A7B20"/>
    <w:rsid w:val="004B107C"/>
    <w:rsid w:val="004B2B9B"/>
    <w:rsid w:val="004B6A1E"/>
    <w:rsid w:val="004B7220"/>
    <w:rsid w:val="004D3F75"/>
    <w:rsid w:val="004E4D1E"/>
    <w:rsid w:val="004E529B"/>
    <w:rsid w:val="00517EB2"/>
    <w:rsid w:val="00524264"/>
    <w:rsid w:val="00524DC5"/>
    <w:rsid w:val="00530119"/>
    <w:rsid w:val="00530D90"/>
    <w:rsid w:val="005337EF"/>
    <w:rsid w:val="00541906"/>
    <w:rsid w:val="00554062"/>
    <w:rsid w:val="0057389D"/>
    <w:rsid w:val="00584495"/>
    <w:rsid w:val="00584876"/>
    <w:rsid w:val="005A4B94"/>
    <w:rsid w:val="005A5FC6"/>
    <w:rsid w:val="005B123A"/>
    <w:rsid w:val="005B4712"/>
    <w:rsid w:val="005C5AAF"/>
    <w:rsid w:val="005C7B58"/>
    <w:rsid w:val="005E00A2"/>
    <w:rsid w:val="005E7C46"/>
    <w:rsid w:val="005F4CA5"/>
    <w:rsid w:val="005F7413"/>
    <w:rsid w:val="00606C97"/>
    <w:rsid w:val="00611487"/>
    <w:rsid w:val="00615ED1"/>
    <w:rsid w:val="0062048D"/>
    <w:rsid w:val="006228A2"/>
    <w:rsid w:val="00631315"/>
    <w:rsid w:val="00635059"/>
    <w:rsid w:val="006412C5"/>
    <w:rsid w:val="00641B5E"/>
    <w:rsid w:val="00644D51"/>
    <w:rsid w:val="00645CB8"/>
    <w:rsid w:val="006464FA"/>
    <w:rsid w:val="00653690"/>
    <w:rsid w:val="006561A1"/>
    <w:rsid w:val="0065758A"/>
    <w:rsid w:val="00667E50"/>
    <w:rsid w:val="00672F10"/>
    <w:rsid w:val="0067573B"/>
    <w:rsid w:val="00676040"/>
    <w:rsid w:val="00680693"/>
    <w:rsid w:val="00697100"/>
    <w:rsid w:val="006B1857"/>
    <w:rsid w:val="006C6440"/>
    <w:rsid w:val="006C6F9C"/>
    <w:rsid w:val="006C7A0B"/>
    <w:rsid w:val="006E5519"/>
    <w:rsid w:val="00701638"/>
    <w:rsid w:val="007135DC"/>
    <w:rsid w:val="0073488E"/>
    <w:rsid w:val="00734CDA"/>
    <w:rsid w:val="00737B62"/>
    <w:rsid w:val="00737BCD"/>
    <w:rsid w:val="00741517"/>
    <w:rsid w:val="00741F47"/>
    <w:rsid w:val="00746DF8"/>
    <w:rsid w:val="00750368"/>
    <w:rsid w:val="00763A56"/>
    <w:rsid w:val="007674E1"/>
    <w:rsid w:val="00770E0F"/>
    <w:rsid w:val="00772E91"/>
    <w:rsid w:val="00774BA8"/>
    <w:rsid w:val="0078530C"/>
    <w:rsid w:val="0079284C"/>
    <w:rsid w:val="007A232F"/>
    <w:rsid w:val="007B2502"/>
    <w:rsid w:val="007B32BC"/>
    <w:rsid w:val="007C4C48"/>
    <w:rsid w:val="007E650B"/>
    <w:rsid w:val="007F1881"/>
    <w:rsid w:val="007F34AD"/>
    <w:rsid w:val="007F6AF0"/>
    <w:rsid w:val="008006D2"/>
    <w:rsid w:val="00801408"/>
    <w:rsid w:val="00804588"/>
    <w:rsid w:val="008052A2"/>
    <w:rsid w:val="0080735D"/>
    <w:rsid w:val="00810CEC"/>
    <w:rsid w:val="0082180C"/>
    <w:rsid w:val="00833429"/>
    <w:rsid w:val="00852E2F"/>
    <w:rsid w:val="00861183"/>
    <w:rsid w:val="00866D3B"/>
    <w:rsid w:val="0087424A"/>
    <w:rsid w:val="00886E3B"/>
    <w:rsid w:val="008A126B"/>
    <w:rsid w:val="008A1941"/>
    <w:rsid w:val="008A5810"/>
    <w:rsid w:val="008B68F4"/>
    <w:rsid w:val="008C07B2"/>
    <w:rsid w:val="008C4C1E"/>
    <w:rsid w:val="008D42EE"/>
    <w:rsid w:val="008E0560"/>
    <w:rsid w:val="008E39BF"/>
    <w:rsid w:val="008E4BCA"/>
    <w:rsid w:val="008E6BBD"/>
    <w:rsid w:val="008F24E8"/>
    <w:rsid w:val="00902C4D"/>
    <w:rsid w:val="00903BDE"/>
    <w:rsid w:val="0090706F"/>
    <w:rsid w:val="00913644"/>
    <w:rsid w:val="0091730F"/>
    <w:rsid w:val="00923A85"/>
    <w:rsid w:val="00924BAE"/>
    <w:rsid w:val="00925954"/>
    <w:rsid w:val="009320B8"/>
    <w:rsid w:val="00932E90"/>
    <w:rsid w:val="00933FBF"/>
    <w:rsid w:val="009345ED"/>
    <w:rsid w:val="00935A96"/>
    <w:rsid w:val="0094454C"/>
    <w:rsid w:val="009653E3"/>
    <w:rsid w:val="0096548E"/>
    <w:rsid w:val="00974187"/>
    <w:rsid w:val="009743D1"/>
    <w:rsid w:val="009817A3"/>
    <w:rsid w:val="00985BCE"/>
    <w:rsid w:val="00985FA0"/>
    <w:rsid w:val="009A06E2"/>
    <w:rsid w:val="009A100C"/>
    <w:rsid w:val="009A56DA"/>
    <w:rsid w:val="009B1F52"/>
    <w:rsid w:val="009D4E20"/>
    <w:rsid w:val="009D571A"/>
    <w:rsid w:val="009F64E9"/>
    <w:rsid w:val="009F7692"/>
    <w:rsid w:val="00A10547"/>
    <w:rsid w:val="00A11181"/>
    <w:rsid w:val="00A206FB"/>
    <w:rsid w:val="00A23E4B"/>
    <w:rsid w:val="00A27386"/>
    <w:rsid w:val="00A372BF"/>
    <w:rsid w:val="00A41763"/>
    <w:rsid w:val="00A54C43"/>
    <w:rsid w:val="00A57864"/>
    <w:rsid w:val="00A75BA9"/>
    <w:rsid w:val="00A7728E"/>
    <w:rsid w:val="00A807A9"/>
    <w:rsid w:val="00A82742"/>
    <w:rsid w:val="00A87543"/>
    <w:rsid w:val="00A92D0A"/>
    <w:rsid w:val="00A97119"/>
    <w:rsid w:val="00AA7AFF"/>
    <w:rsid w:val="00AB1B77"/>
    <w:rsid w:val="00AB42E9"/>
    <w:rsid w:val="00AD5728"/>
    <w:rsid w:val="00AE134E"/>
    <w:rsid w:val="00B00B3B"/>
    <w:rsid w:val="00B138A1"/>
    <w:rsid w:val="00B148AF"/>
    <w:rsid w:val="00B27679"/>
    <w:rsid w:val="00B443B4"/>
    <w:rsid w:val="00B448F8"/>
    <w:rsid w:val="00B45A9C"/>
    <w:rsid w:val="00B535C6"/>
    <w:rsid w:val="00B674C9"/>
    <w:rsid w:val="00B73C00"/>
    <w:rsid w:val="00B7557E"/>
    <w:rsid w:val="00B75789"/>
    <w:rsid w:val="00B771E9"/>
    <w:rsid w:val="00B773E2"/>
    <w:rsid w:val="00B8763C"/>
    <w:rsid w:val="00B95531"/>
    <w:rsid w:val="00B96E57"/>
    <w:rsid w:val="00BA0E12"/>
    <w:rsid w:val="00BB41AC"/>
    <w:rsid w:val="00BB4F10"/>
    <w:rsid w:val="00BB538B"/>
    <w:rsid w:val="00BB6997"/>
    <w:rsid w:val="00BC423C"/>
    <w:rsid w:val="00BC4878"/>
    <w:rsid w:val="00BD0042"/>
    <w:rsid w:val="00BD13E2"/>
    <w:rsid w:val="00BD7D2D"/>
    <w:rsid w:val="00BE2412"/>
    <w:rsid w:val="00BE56B0"/>
    <w:rsid w:val="00BE5FD8"/>
    <w:rsid w:val="00BF4F33"/>
    <w:rsid w:val="00C061A2"/>
    <w:rsid w:val="00C0680D"/>
    <w:rsid w:val="00C0771A"/>
    <w:rsid w:val="00C2541B"/>
    <w:rsid w:val="00C42EFA"/>
    <w:rsid w:val="00C45C49"/>
    <w:rsid w:val="00C54F04"/>
    <w:rsid w:val="00C55FB9"/>
    <w:rsid w:val="00C64608"/>
    <w:rsid w:val="00C75730"/>
    <w:rsid w:val="00C827F8"/>
    <w:rsid w:val="00C874D7"/>
    <w:rsid w:val="00CA2627"/>
    <w:rsid w:val="00CA41FD"/>
    <w:rsid w:val="00CA53AE"/>
    <w:rsid w:val="00CA5D2F"/>
    <w:rsid w:val="00CB289A"/>
    <w:rsid w:val="00CB33A9"/>
    <w:rsid w:val="00CB4B94"/>
    <w:rsid w:val="00CC6B97"/>
    <w:rsid w:val="00CD1930"/>
    <w:rsid w:val="00CE3992"/>
    <w:rsid w:val="00CE653E"/>
    <w:rsid w:val="00CF1150"/>
    <w:rsid w:val="00CF3AE1"/>
    <w:rsid w:val="00D05391"/>
    <w:rsid w:val="00D1601D"/>
    <w:rsid w:val="00D1609D"/>
    <w:rsid w:val="00D2313A"/>
    <w:rsid w:val="00D2717F"/>
    <w:rsid w:val="00D316F6"/>
    <w:rsid w:val="00D3549B"/>
    <w:rsid w:val="00D47CA8"/>
    <w:rsid w:val="00D53D57"/>
    <w:rsid w:val="00D5681D"/>
    <w:rsid w:val="00D6052E"/>
    <w:rsid w:val="00D64B0C"/>
    <w:rsid w:val="00D70E2B"/>
    <w:rsid w:val="00D728DC"/>
    <w:rsid w:val="00DA6183"/>
    <w:rsid w:val="00DA6B78"/>
    <w:rsid w:val="00DB1916"/>
    <w:rsid w:val="00DB5A5C"/>
    <w:rsid w:val="00DC6921"/>
    <w:rsid w:val="00DD10E0"/>
    <w:rsid w:val="00DD5569"/>
    <w:rsid w:val="00DD6E22"/>
    <w:rsid w:val="00DE6A67"/>
    <w:rsid w:val="00DF2B6C"/>
    <w:rsid w:val="00E024B8"/>
    <w:rsid w:val="00E03957"/>
    <w:rsid w:val="00E043EE"/>
    <w:rsid w:val="00E111B6"/>
    <w:rsid w:val="00E1160A"/>
    <w:rsid w:val="00E164F2"/>
    <w:rsid w:val="00E24E0E"/>
    <w:rsid w:val="00E33D09"/>
    <w:rsid w:val="00E41D49"/>
    <w:rsid w:val="00E475B0"/>
    <w:rsid w:val="00E52D41"/>
    <w:rsid w:val="00E52F49"/>
    <w:rsid w:val="00E56B9C"/>
    <w:rsid w:val="00E6352C"/>
    <w:rsid w:val="00E64D52"/>
    <w:rsid w:val="00E754B4"/>
    <w:rsid w:val="00E80262"/>
    <w:rsid w:val="00E832ED"/>
    <w:rsid w:val="00E856EE"/>
    <w:rsid w:val="00EA14F4"/>
    <w:rsid w:val="00EA5612"/>
    <w:rsid w:val="00EA7D37"/>
    <w:rsid w:val="00EB2540"/>
    <w:rsid w:val="00EB429A"/>
    <w:rsid w:val="00EB5670"/>
    <w:rsid w:val="00EC14F5"/>
    <w:rsid w:val="00EC4C12"/>
    <w:rsid w:val="00ED1EB7"/>
    <w:rsid w:val="00ED2716"/>
    <w:rsid w:val="00EE2747"/>
    <w:rsid w:val="00EE29AD"/>
    <w:rsid w:val="00EF1362"/>
    <w:rsid w:val="00F00F8A"/>
    <w:rsid w:val="00F150B8"/>
    <w:rsid w:val="00F20BF7"/>
    <w:rsid w:val="00F21FF0"/>
    <w:rsid w:val="00F33166"/>
    <w:rsid w:val="00F332D5"/>
    <w:rsid w:val="00F34D7A"/>
    <w:rsid w:val="00F5081A"/>
    <w:rsid w:val="00F516F9"/>
    <w:rsid w:val="00F53CCB"/>
    <w:rsid w:val="00F647E2"/>
    <w:rsid w:val="00F64D15"/>
    <w:rsid w:val="00F74F96"/>
    <w:rsid w:val="00F761CB"/>
    <w:rsid w:val="00F80975"/>
    <w:rsid w:val="00F810F6"/>
    <w:rsid w:val="00F83FC9"/>
    <w:rsid w:val="00F86B0C"/>
    <w:rsid w:val="00FA3AD8"/>
    <w:rsid w:val="00FA72D6"/>
    <w:rsid w:val="00FB1151"/>
    <w:rsid w:val="00FC4313"/>
    <w:rsid w:val="00FC6F28"/>
    <w:rsid w:val="00FE0030"/>
    <w:rsid w:val="00FE155D"/>
    <w:rsid w:val="00FF67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E3CA"/>
  <w15:chartTrackingRefBased/>
  <w15:docId w15:val="{80AE8DF0-AFAD-4871-8DE8-6630C22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3391</Words>
  <Characters>19335</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22</cp:revision>
  <dcterms:created xsi:type="dcterms:W3CDTF">2024-02-08T18:04:00Z</dcterms:created>
  <dcterms:modified xsi:type="dcterms:W3CDTF">2024-02-08T18:23:00Z</dcterms:modified>
</cp:coreProperties>
</file>